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iagrams/data1.xml" ContentType="application/vnd.openxmlformats-officedocument.drawingml.diagramData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diagrams/colors1.xml" ContentType="application/vnd.openxmlformats-officedocument.drawingml.diagramColors+xml"/>
  <Override PartName="/word/diagrams/layout1.xml" ContentType="application/vnd.openxmlformats-officedocument.drawingml.diagramLayout+xml"/>
  <Override PartName="/word/diagrams/drawing1.xml" ContentType="application/vnd.ms-office.drawingml.diagramDrawing+xml"/>
  <Override PartName="/word/diagrams/quickStyle1.xml" ContentType="application/vnd.openxmlformats-officedocument.drawingml.diagramStyl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242647" w14:textId="77777777" w:rsidR="00C10673" w:rsidRDefault="008452A9" w:rsidP="001C5D2B">
      <w:pPr>
        <w:jc w:val="center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>Industry Credentials Initiative</w:t>
      </w:r>
    </w:p>
    <w:p w14:paraId="61C96B25" w14:textId="4BBF3369" w:rsidR="008452A9" w:rsidRPr="00972DCD" w:rsidRDefault="00AB0AA8" w:rsidP="001C5D2B">
      <w:pPr>
        <w:jc w:val="center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>Value Proposition</w:t>
      </w:r>
    </w:p>
    <w:p w14:paraId="3C3D7DD5" w14:textId="2C2E2085" w:rsidR="006A7963" w:rsidRDefault="001E051C" w:rsidP="001E051C">
      <w:pPr>
        <w:pStyle w:val="BodyText"/>
        <w:spacing w:after="160" w:line="259" w:lineRule="auto"/>
        <w:ind w:right="163"/>
        <w:rPr>
          <w:sz w:val="22"/>
        </w:rPr>
      </w:pPr>
      <w:r w:rsidRPr="006A7963">
        <w:rPr>
          <w:noProof/>
          <w:sz w:val="22"/>
        </w:rPr>
        <w:drawing>
          <wp:anchor distT="0" distB="0" distL="114300" distR="114300" simplePos="0" relativeHeight="251658240" behindDoc="0" locked="0" layoutInCell="1" allowOverlap="1" wp14:anchorId="549B878A" wp14:editId="487C084A">
            <wp:simplePos x="0" y="0"/>
            <wp:positionH relativeFrom="column">
              <wp:posOffset>514350</wp:posOffset>
            </wp:positionH>
            <wp:positionV relativeFrom="paragraph">
              <wp:posOffset>1782445</wp:posOffset>
            </wp:positionV>
            <wp:extent cx="4210050" cy="2505075"/>
            <wp:effectExtent l="0" t="19050" r="19050" b="28575"/>
            <wp:wrapTopAndBottom/>
            <wp:docPr id="1" name="Diagram 1">
              <a:extLst xmlns:a="http://schemas.openxmlformats.org/drawingml/2006/main">
                <a:ext uri="{FF2B5EF4-FFF2-40B4-BE49-F238E27FC236}">
                  <a16:creationId xmlns:a16="http://schemas.microsoft.com/office/drawing/2014/main" id="{FB71C862-C78B-4417-8236-DE86547523B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7963" w:rsidRPr="00C8412E">
        <w:rPr>
          <w:sz w:val="22"/>
        </w:rPr>
        <w:t xml:space="preserve">When </w:t>
      </w:r>
      <w:r w:rsidR="00C10673">
        <w:rPr>
          <w:sz w:val="22"/>
        </w:rPr>
        <w:t>certification</w:t>
      </w:r>
      <w:r w:rsidR="006A7963" w:rsidRPr="00C8412E">
        <w:rPr>
          <w:sz w:val="22"/>
        </w:rPr>
        <w:t xml:space="preserve"> bodies submit their </w:t>
      </w:r>
      <w:r w:rsidR="006A7963">
        <w:rPr>
          <w:sz w:val="22"/>
        </w:rPr>
        <w:t xml:space="preserve">individual </w:t>
      </w:r>
      <w:r w:rsidR="006A7963" w:rsidRPr="00C8412E">
        <w:rPr>
          <w:sz w:val="22"/>
        </w:rPr>
        <w:t>credential attainment data</w:t>
      </w:r>
      <w:r w:rsidR="006A7963" w:rsidRPr="00C8412E">
        <w:rPr>
          <w:spacing w:val="-22"/>
          <w:sz w:val="22"/>
        </w:rPr>
        <w:t xml:space="preserve"> </w:t>
      </w:r>
      <w:r w:rsidR="006A7963" w:rsidRPr="00C8412E">
        <w:rPr>
          <w:sz w:val="22"/>
        </w:rPr>
        <w:t>to</w:t>
      </w:r>
      <w:r w:rsidR="006A7963" w:rsidRPr="00C8412E">
        <w:rPr>
          <w:spacing w:val="-3"/>
          <w:sz w:val="22"/>
        </w:rPr>
        <w:t xml:space="preserve"> </w:t>
      </w:r>
      <w:r w:rsidR="006A7963" w:rsidRPr="00C8412E">
        <w:rPr>
          <w:sz w:val="22"/>
        </w:rPr>
        <w:t>the</w:t>
      </w:r>
      <w:r w:rsidR="006A7963" w:rsidRPr="00C8412E">
        <w:rPr>
          <w:spacing w:val="1"/>
          <w:sz w:val="22"/>
        </w:rPr>
        <w:t xml:space="preserve"> </w:t>
      </w:r>
      <w:r w:rsidR="006A7963">
        <w:rPr>
          <w:spacing w:val="1"/>
          <w:sz w:val="22"/>
        </w:rPr>
        <w:t xml:space="preserve">National Student </w:t>
      </w:r>
      <w:r w:rsidR="006A7963" w:rsidRPr="00C8412E">
        <w:rPr>
          <w:sz w:val="22"/>
        </w:rPr>
        <w:t>Clearinghouse</w:t>
      </w:r>
      <w:r w:rsidR="00C10673">
        <w:rPr>
          <w:sz w:val="22"/>
        </w:rPr>
        <w:t xml:space="preserve"> (the Clearinghouse)</w:t>
      </w:r>
      <w:r w:rsidR="006A7963" w:rsidRPr="00C8412E">
        <w:rPr>
          <w:sz w:val="22"/>
        </w:rPr>
        <w:t xml:space="preserve">, it is matched with enrollment and degree attainment data, and returned to the </w:t>
      </w:r>
      <w:r w:rsidR="00C10673">
        <w:rPr>
          <w:sz w:val="22"/>
        </w:rPr>
        <w:t>certification</w:t>
      </w:r>
      <w:r w:rsidR="006A7963" w:rsidRPr="00C8412E">
        <w:rPr>
          <w:sz w:val="22"/>
        </w:rPr>
        <w:t xml:space="preserve"> bodies in a student</w:t>
      </w:r>
      <w:r w:rsidR="00C10673">
        <w:rPr>
          <w:sz w:val="22"/>
        </w:rPr>
        <w:t>-</w:t>
      </w:r>
      <w:r w:rsidR="006A7963" w:rsidRPr="00C8412E">
        <w:rPr>
          <w:sz w:val="22"/>
        </w:rPr>
        <w:t xml:space="preserve">level detail file. </w:t>
      </w:r>
      <w:r w:rsidR="003E771C">
        <w:rPr>
          <w:sz w:val="22"/>
        </w:rPr>
        <w:t>A</w:t>
      </w:r>
      <w:r w:rsidR="006A7963" w:rsidRPr="00C8412E">
        <w:rPr>
          <w:sz w:val="22"/>
        </w:rPr>
        <w:t>n aggregate</w:t>
      </w:r>
      <w:r w:rsidR="00C10673">
        <w:rPr>
          <w:sz w:val="22"/>
        </w:rPr>
        <w:t>-</w:t>
      </w:r>
      <w:r w:rsidR="006A7963" w:rsidRPr="00C8412E">
        <w:rPr>
          <w:sz w:val="22"/>
        </w:rPr>
        <w:t>level report that provides insights into the education and credentialing pathways of certifi</w:t>
      </w:r>
      <w:r w:rsidR="006A7963">
        <w:rPr>
          <w:sz w:val="22"/>
        </w:rPr>
        <w:t xml:space="preserve">cation holders </w:t>
      </w:r>
      <w:r w:rsidR="003E771C">
        <w:rPr>
          <w:sz w:val="22"/>
        </w:rPr>
        <w:t xml:space="preserve">also </w:t>
      </w:r>
      <w:r w:rsidR="006A7963" w:rsidRPr="00C8412E">
        <w:rPr>
          <w:sz w:val="22"/>
        </w:rPr>
        <w:t xml:space="preserve">is created. The aggregate report provides information about the most common types of institutions where </w:t>
      </w:r>
      <w:r w:rsidR="006A7963">
        <w:rPr>
          <w:sz w:val="22"/>
        </w:rPr>
        <w:t xml:space="preserve">certification holders </w:t>
      </w:r>
      <w:r w:rsidR="006A7963" w:rsidRPr="00C8412E">
        <w:rPr>
          <w:sz w:val="22"/>
        </w:rPr>
        <w:t xml:space="preserve">were enrolled, the most common programs of study, the highest education credentials attained, and demographic information. In </w:t>
      </w:r>
      <w:r w:rsidR="006A7963">
        <w:rPr>
          <w:sz w:val="22"/>
        </w:rPr>
        <w:t>addition</w:t>
      </w:r>
      <w:r w:rsidR="006A7963" w:rsidRPr="00C8412E">
        <w:rPr>
          <w:sz w:val="22"/>
        </w:rPr>
        <w:t>, aggregate labor</w:t>
      </w:r>
      <w:r w:rsidR="00C10673">
        <w:rPr>
          <w:sz w:val="22"/>
        </w:rPr>
        <w:t>-</w:t>
      </w:r>
      <w:r w:rsidR="006A7963" w:rsidRPr="00C8412E">
        <w:rPr>
          <w:sz w:val="22"/>
        </w:rPr>
        <w:t xml:space="preserve">market outcomes from the </w:t>
      </w:r>
      <w:r w:rsidR="006A7963">
        <w:rPr>
          <w:sz w:val="22"/>
        </w:rPr>
        <w:t xml:space="preserve">U.S. </w:t>
      </w:r>
      <w:r w:rsidR="006A7963" w:rsidRPr="00C8412E">
        <w:rPr>
          <w:sz w:val="22"/>
        </w:rPr>
        <w:t>Census Bureau</w:t>
      </w:r>
      <w:r w:rsidR="006A7963">
        <w:rPr>
          <w:sz w:val="22"/>
        </w:rPr>
        <w:t xml:space="preserve"> are analyzed and produced through </w:t>
      </w:r>
      <w:r w:rsidR="00C10673">
        <w:rPr>
          <w:sz w:val="22"/>
        </w:rPr>
        <w:t>the Clearinghouse’s</w:t>
      </w:r>
      <w:r w:rsidR="006A7963">
        <w:rPr>
          <w:sz w:val="22"/>
        </w:rPr>
        <w:t xml:space="preserve"> pilot process with the agency</w:t>
      </w:r>
      <w:r w:rsidR="006A7963" w:rsidRPr="00C8412E">
        <w:rPr>
          <w:sz w:val="22"/>
        </w:rPr>
        <w:t>.</w:t>
      </w:r>
      <w:r>
        <w:rPr>
          <w:sz w:val="22"/>
        </w:rPr>
        <w:t xml:space="preserve"> </w:t>
      </w:r>
      <w:r w:rsidR="006A7963">
        <w:rPr>
          <w:sz w:val="22"/>
        </w:rPr>
        <w:t>The value proposition to the certification bodies is seen in five areas:</w:t>
      </w:r>
    </w:p>
    <w:p w14:paraId="43BD24E8" w14:textId="77777777" w:rsidR="001E051C" w:rsidRDefault="001E051C" w:rsidP="001E051C">
      <w:pPr>
        <w:pStyle w:val="BodyText"/>
        <w:tabs>
          <w:tab w:val="left" w:pos="720"/>
        </w:tabs>
        <w:spacing w:line="259" w:lineRule="auto"/>
        <w:ind w:right="163"/>
        <w:rPr>
          <w:color w:val="0070C0"/>
          <w:sz w:val="22"/>
          <w:szCs w:val="22"/>
        </w:rPr>
      </w:pPr>
    </w:p>
    <w:p w14:paraId="1E11333E" w14:textId="668EA45A" w:rsidR="006A7963" w:rsidRPr="00DE00BF" w:rsidRDefault="006A7963" w:rsidP="001E051C">
      <w:pPr>
        <w:pStyle w:val="BodyText"/>
        <w:tabs>
          <w:tab w:val="left" w:pos="720"/>
        </w:tabs>
        <w:spacing w:after="160" w:line="259" w:lineRule="auto"/>
        <w:ind w:right="163"/>
        <w:rPr>
          <w:sz w:val="22"/>
          <w:szCs w:val="22"/>
        </w:rPr>
      </w:pPr>
      <w:r w:rsidRPr="001E051C">
        <w:rPr>
          <w:color w:val="0070C0"/>
          <w:sz w:val="22"/>
          <w:szCs w:val="22"/>
        </w:rPr>
        <w:t>Visibility</w:t>
      </w:r>
      <w:r w:rsidR="003E771C">
        <w:rPr>
          <w:color w:val="0070C0"/>
          <w:sz w:val="22"/>
          <w:szCs w:val="22"/>
        </w:rPr>
        <w:t xml:space="preserve">: </w:t>
      </w:r>
      <w:r w:rsidRPr="00DE00BF">
        <w:rPr>
          <w:sz w:val="22"/>
          <w:szCs w:val="22"/>
        </w:rPr>
        <w:t>Bring increased awareness and visibility to the certification and the profession</w:t>
      </w:r>
    </w:p>
    <w:p w14:paraId="14E7835B" w14:textId="63A95DD0" w:rsidR="006A7963" w:rsidRPr="00DE00BF" w:rsidRDefault="006A7963" w:rsidP="001E051C">
      <w:pPr>
        <w:pStyle w:val="BodyText"/>
        <w:tabs>
          <w:tab w:val="left" w:pos="720"/>
        </w:tabs>
        <w:spacing w:after="160" w:line="259" w:lineRule="auto"/>
        <w:ind w:right="163"/>
        <w:rPr>
          <w:spacing w:val="1"/>
          <w:sz w:val="22"/>
          <w:szCs w:val="22"/>
        </w:rPr>
      </w:pPr>
      <w:r w:rsidRPr="001E051C">
        <w:rPr>
          <w:color w:val="0070C0"/>
          <w:spacing w:val="1"/>
          <w:sz w:val="22"/>
          <w:szCs w:val="22"/>
        </w:rPr>
        <w:t>Credibility</w:t>
      </w:r>
      <w:r w:rsidR="003E771C">
        <w:rPr>
          <w:color w:val="0070C0"/>
          <w:spacing w:val="1"/>
          <w:sz w:val="22"/>
          <w:szCs w:val="22"/>
        </w:rPr>
        <w:t xml:space="preserve">: </w:t>
      </w:r>
      <w:r w:rsidRPr="00DE00BF">
        <w:rPr>
          <w:spacing w:val="1"/>
          <w:sz w:val="22"/>
          <w:szCs w:val="22"/>
        </w:rPr>
        <w:t>Use third-party</w:t>
      </w:r>
      <w:r w:rsidR="00C10673">
        <w:rPr>
          <w:spacing w:val="1"/>
          <w:sz w:val="22"/>
          <w:szCs w:val="22"/>
        </w:rPr>
        <w:t>,</w:t>
      </w:r>
      <w:r w:rsidRPr="00DE00BF">
        <w:rPr>
          <w:spacing w:val="1"/>
          <w:sz w:val="22"/>
          <w:szCs w:val="22"/>
        </w:rPr>
        <w:t xml:space="preserve"> validated data to provide evidence about the value of the certification</w:t>
      </w:r>
    </w:p>
    <w:p w14:paraId="10A6E585" w14:textId="6FB1AF27" w:rsidR="006A7963" w:rsidRPr="00DE00BF" w:rsidRDefault="006A7963" w:rsidP="001E051C">
      <w:pPr>
        <w:pStyle w:val="BodyText"/>
        <w:tabs>
          <w:tab w:val="left" w:pos="720"/>
        </w:tabs>
        <w:spacing w:after="160" w:line="259" w:lineRule="auto"/>
        <w:ind w:right="163"/>
        <w:rPr>
          <w:spacing w:val="1"/>
          <w:sz w:val="22"/>
          <w:szCs w:val="22"/>
        </w:rPr>
      </w:pPr>
      <w:r w:rsidRPr="001E051C">
        <w:rPr>
          <w:color w:val="0070C0"/>
          <w:spacing w:val="1"/>
          <w:sz w:val="22"/>
          <w:szCs w:val="22"/>
        </w:rPr>
        <w:t xml:space="preserve">Strategic </w:t>
      </w:r>
      <w:r w:rsidR="001E051C">
        <w:rPr>
          <w:color w:val="0070C0"/>
          <w:spacing w:val="1"/>
          <w:sz w:val="22"/>
          <w:szCs w:val="22"/>
        </w:rPr>
        <w:t>P</w:t>
      </w:r>
      <w:r w:rsidRPr="001E051C">
        <w:rPr>
          <w:color w:val="0070C0"/>
          <w:spacing w:val="1"/>
          <w:sz w:val="22"/>
          <w:szCs w:val="22"/>
        </w:rPr>
        <w:t>lanning</w:t>
      </w:r>
      <w:r w:rsidR="003E771C">
        <w:rPr>
          <w:color w:val="0070C0"/>
          <w:spacing w:val="1"/>
          <w:sz w:val="22"/>
          <w:szCs w:val="22"/>
        </w:rPr>
        <w:t xml:space="preserve">: </w:t>
      </w:r>
      <w:r w:rsidRPr="00DE00BF">
        <w:rPr>
          <w:spacing w:val="1"/>
          <w:sz w:val="22"/>
          <w:szCs w:val="22"/>
        </w:rPr>
        <w:t>Use data to improve strategic planning, support decision making, gather information to inform the development of new products, and obtain a more complete picture of the certification holders</w:t>
      </w:r>
    </w:p>
    <w:p w14:paraId="6DBFE047" w14:textId="2243567A" w:rsidR="006A7963" w:rsidRPr="00DE00BF" w:rsidRDefault="006A7963" w:rsidP="001E051C">
      <w:pPr>
        <w:pStyle w:val="BodyText"/>
        <w:tabs>
          <w:tab w:val="left" w:pos="720"/>
        </w:tabs>
        <w:spacing w:after="160" w:line="259" w:lineRule="auto"/>
        <w:ind w:right="163"/>
        <w:rPr>
          <w:spacing w:val="1"/>
          <w:sz w:val="22"/>
          <w:szCs w:val="22"/>
        </w:rPr>
      </w:pPr>
      <w:r w:rsidRPr="001E051C">
        <w:rPr>
          <w:color w:val="0070C0"/>
          <w:spacing w:val="1"/>
          <w:sz w:val="22"/>
          <w:szCs w:val="22"/>
        </w:rPr>
        <w:t>Marketing</w:t>
      </w:r>
      <w:r w:rsidR="003E771C">
        <w:rPr>
          <w:color w:val="0070C0"/>
          <w:spacing w:val="1"/>
          <w:sz w:val="22"/>
          <w:szCs w:val="22"/>
        </w:rPr>
        <w:t xml:space="preserve">: </w:t>
      </w:r>
      <w:r w:rsidRPr="00DE00BF">
        <w:rPr>
          <w:spacing w:val="1"/>
          <w:sz w:val="22"/>
          <w:szCs w:val="22"/>
        </w:rPr>
        <w:t>Identify gaps in certifications earned by underserved populations; refine outreach to new and existing markets; show wages before and after earning the certification; and use data to advance the industry and/or occupation</w:t>
      </w:r>
    </w:p>
    <w:p w14:paraId="4B8F16BA" w14:textId="455056E3" w:rsidR="00FE0E56" w:rsidRDefault="006A7963" w:rsidP="001E051C">
      <w:pPr>
        <w:pStyle w:val="BodyText"/>
        <w:tabs>
          <w:tab w:val="left" w:pos="720"/>
        </w:tabs>
        <w:spacing w:after="160" w:line="259" w:lineRule="auto"/>
        <w:ind w:right="163"/>
        <w:rPr>
          <w:color w:val="0070C0"/>
        </w:rPr>
      </w:pPr>
      <w:r w:rsidRPr="001E051C">
        <w:rPr>
          <w:color w:val="0070C0"/>
          <w:spacing w:val="1"/>
          <w:sz w:val="22"/>
          <w:szCs w:val="22"/>
        </w:rPr>
        <w:t xml:space="preserve">Career </w:t>
      </w:r>
      <w:r w:rsidR="001E051C">
        <w:rPr>
          <w:color w:val="0070C0"/>
          <w:spacing w:val="1"/>
          <w:sz w:val="22"/>
          <w:szCs w:val="22"/>
        </w:rPr>
        <w:t>P</w:t>
      </w:r>
      <w:r w:rsidRPr="001E051C">
        <w:rPr>
          <w:color w:val="0070C0"/>
          <w:spacing w:val="1"/>
          <w:sz w:val="22"/>
          <w:szCs w:val="22"/>
        </w:rPr>
        <w:t>athways</w:t>
      </w:r>
      <w:r w:rsidR="003E771C">
        <w:rPr>
          <w:color w:val="0070C0"/>
          <w:spacing w:val="1"/>
          <w:sz w:val="22"/>
          <w:szCs w:val="22"/>
        </w:rPr>
        <w:t xml:space="preserve">: </w:t>
      </w:r>
      <w:r w:rsidRPr="00DE00BF">
        <w:rPr>
          <w:spacing w:val="1"/>
          <w:sz w:val="22"/>
          <w:szCs w:val="22"/>
        </w:rPr>
        <w:t xml:space="preserve">Understand career pathways and earnings of certified persons; gather information on what certification holders studied, how they prepared for their career, what other certifications they hold; understand tangential careers and how to better target those audiences; and identify people interested in the </w:t>
      </w:r>
      <w:r w:rsidR="001E051C" w:rsidRPr="00DE00BF">
        <w:rPr>
          <w:spacing w:val="1"/>
          <w:sz w:val="22"/>
          <w:szCs w:val="22"/>
        </w:rPr>
        <w:t>occupation earlier in their education or career</w:t>
      </w:r>
    </w:p>
    <w:p w14:paraId="0DB0C062" w14:textId="0B5982E8" w:rsidR="008452A9" w:rsidRPr="00FE0E56" w:rsidRDefault="008452A9">
      <w:r w:rsidRPr="003E771C">
        <w:rPr>
          <w:b/>
          <w:color w:val="0070C0"/>
        </w:rPr>
        <w:lastRenderedPageBreak/>
        <w:t>Contact</w:t>
      </w:r>
      <w:r w:rsidR="003E771C">
        <w:rPr>
          <w:b/>
          <w:color w:val="0070C0"/>
        </w:rPr>
        <w:t xml:space="preserve">: </w:t>
      </w:r>
      <w:r w:rsidR="00FE0E56">
        <w:t xml:space="preserve">If you would like more information about the Industry Credentials Initiative, please contact </w:t>
      </w:r>
      <w:r w:rsidR="006E6716">
        <w:t xml:space="preserve">Karen Elzey, associate executive director, Workcred, </w:t>
      </w:r>
      <w:hyperlink r:id="rId12" w:history="1">
        <w:r w:rsidR="006E6716" w:rsidRPr="006F2604">
          <w:rPr>
            <w:rStyle w:val="Hyperlink"/>
          </w:rPr>
          <w:t>kelzey@workcred.org</w:t>
        </w:r>
      </w:hyperlink>
      <w:r w:rsidR="006E6716" w:rsidRPr="006E6716">
        <w:rPr>
          <w:rStyle w:val="Hyperlink"/>
          <w:u w:val="none"/>
        </w:rPr>
        <w:t xml:space="preserve"> </w:t>
      </w:r>
      <w:r w:rsidR="006E6716" w:rsidRPr="006E6716">
        <w:t xml:space="preserve">or </w:t>
      </w:r>
      <w:r w:rsidR="006E6716">
        <w:t>Melissa Buckley, r</w:t>
      </w:r>
      <w:r w:rsidR="006E6716" w:rsidRPr="006E6716">
        <w:t xml:space="preserve">elationship </w:t>
      </w:r>
      <w:r w:rsidR="006E6716">
        <w:t>m</w:t>
      </w:r>
      <w:r w:rsidR="006E6716" w:rsidRPr="006E6716">
        <w:t xml:space="preserve">anagement </w:t>
      </w:r>
      <w:r w:rsidR="006E6716">
        <w:t>d</w:t>
      </w:r>
      <w:r w:rsidR="006E6716" w:rsidRPr="006E6716">
        <w:t xml:space="preserve">irector of </w:t>
      </w:r>
      <w:r w:rsidR="006E6716">
        <w:t>r</w:t>
      </w:r>
      <w:r w:rsidR="006E6716" w:rsidRPr="006E6716">
        <w:t xml:space="preserve">esources &amp; </w:t>
      </w:r>
      <w:r w:rsidR="006E6716">
        <w:t>a</w:t>
      </w:r>
      <w:r w:rsidR="006E6716" w:rsidRPr="006E6716">
        <w:t>nalytics</w:t>
      </w:r>
      <w:r w:rsidR="00FE0E56">
        <w:t xml:space="preserve">, National Student Clearinghouse, </w:t>
      </w:r>
      <w:hyperlink r:id="rId13" w:history="1">
        <w:r w:rsidR="006E6716" w:rsidRPr="00AE20D5">
          <w:rPr>
            <w:rStyle w:val="Hyperlink"/>
          </w:rPr>
          <w:t>buckley@studentclearinghouse.org</w:t>
        </w:r>
      </w:hyperlink>
      <w:r w:rsidR="006E6716">
        <w:t>.</w:t>
      </w:r>
      <w:bookmarkStart w:id="0" w:name="_GoBack"/>
      <w:bookmarkEnd w:id="0"/>
    </w:p>
    <w:sectPr w:rsidR="008452A9" w:rsidRPr="00FE0E56" w:rsidSect="001E051C">
      <w:headerReference w:type="first" r:id="rId14"/>
      <w:pgSz w:w="12240" w:h="15840"/>
      <w:pgMar w:top="1152" w:right="1440" w:bottom="115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E04BD8" w14:textId="77777777" w:rsidR="00550D99" w:rsidRDefault="00550D99" w:rsidP="00E25649">
      <w:pPr>
        <w:spacing w:after="0" w:line="240" w:lineRule="auto"/>
      </w:pPr>
      <w:r>
        <w:separator/>
      </w:r>
    </w:p>
  </w:endnote>
  <w:endnote w:type="continuationSeparator" w:id="0">
    <w:p w14:paraId="41C92078" w14:textId="77777777" w:rsidR="00550D99" w:rsidRDefault="00550D99" w:rsidP="00E256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3EE6BD" w14:textId="77777777" w:rsidR="00550D99" w:rsidRDefault="00550D99" w:rsidP="00E25649">
      <w:pPr>
        <w:spacing w:after="0" w:line="240" w:lineRule="auto"/>
      </w:pPr>
      <w:r>
        <w:separator/>
      </w:r>
    </w:p>
  </w:footnote>
  <w:footnote w:type="continuationSeparator" w:id="0">
    <w:p w14:paraId="559134E3" w14:textId="77777777" w:rsidR="00550D99" w:rsidRDefault="00550D99" w:rsidP="00E256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74473E" w14:textId="6FF927E2" w:rsidR="007C3203" w:rsidRDefault="007C3203" w:rsidP="007C3203">
    <w:pPr>
      <w:pStyle w:val="Header"/>
      <w:tabs>
        <w:tab w:val="clear" w:pos="4680"/>
        <w:tab w:val="right" w:pos="1440"/>
        <w:tab w:val="right" w:pos="8640"/>
      </w:tabs>
    </w:pPr>
    <w:bookmarkStart w:id="1" w:name="_Hlk83309613"/>
    <w:r>
      <w:tab/>
    </w:r>
    <w:r>
      <w:rPr>
        <w:noProof/>
      </w:rPr>
      <w:drawing>
        <wp:inline distT="0" distB="0" distL="0" distR="0" wp14:anchorId="59B8DD0B" wp14:editId="3B2079A0">
          <wp:extent cx="1603362" cy="40957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rkCred_logo_ansi_affiliate_v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7853" cy="4107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0" distB="0" distL="0" distR="0" wp14:anchorId="573918B3" wp14:editId="426CF0AC">
          <wp:extent cx="965835" cy="899982"/>
          <wp:effectExtent l="0" t="0" r="571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learinghouse logo vertical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7475" cy="9201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bookmarkEnd w:id="1"/>
  <w:p w14:paraId="40098392" w14:textId="4EC6B853" w:rsidR="007C3203" w:rsidRDefault="007C3203" w:rsidP="007C3203">
    <w:pPr>
      <w:pStyle w:val="Header"/>
      <w:tabs>
        <w:tab w:val="clear" w:pos="4680"/>
        <w:tab w:val="left" w:pos="64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612A6F"/>
    <w:multiLevelType w:val="hybridMultilevel"/>
    <w:tmpl w:val="3BE2A74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4941"/>
    <w:rsid w:val="00022674"/>
    <w:rsid w:val="00023D7E"/>
    <w:rsid w:val="001405EE"/>
    <w:rsid w:val="001C5D2B"/>
    <w:rsid w:val="001E051C"/>
    <w:rsid w:val="0022461C"/>
    <w:rsid w:val="00251F9C"/>
    <w:rsid w:val="00271DA0"/>
    <w:rsid w:val="002F0170"/>
    <w:rsid w:val="00300DC4"/>
    <w:rsid w:val="003055A0"/>
    <w:rsid w:val="00327687"/>
    <w:rsid w:val="003325A4"/>
    <w:rsid w:val="00346948"/>
    <w:rsid w:val="00361C96"/>
    <w:rsid w:val="003643FF"/>
    <w:rsid w:val="003E771C"/>
    <w:rsid w:val="00400E4C"/>
    <w:rsid w:val="00447355"/>
    <w:rsid w:val="00476906"/>
    <w:rsid w:val="004A6391"/>
    <w:rsid w:val="004B254F"/>
    <w:rsid w:val="004D4941"/>
    <w:rsid w:val="00550D99"/>
    <w:rsid w:val="00572F09"/>
    <w:rsid w:val="005878F1"/>
    <w:rsid w:val="005D5C5B"/>
    <w:rsid w:val="00690B01"/>
    <w:rsid w:val="006A7963"/>
    <w:rsid w:val="006E6716"/>
    <w:rsid w:val="00770A5A"/>
    <w:rsid w:val="0078473E"/>
    <w:rsid w:val="007C3203"/>
    <w:rsid w:val="008452A9"/>
    <w:rsid w:val="00847549"/>
    <w:rsid w:val="0086713B"/>
    <w:rsid w:val="0091000F"/>
    <w:rsid w:val="009377A7"/>
    <w:rsid w:val="00937FF1"/>
    <w:rsid w:val="009544AB"/>
    <w:rsid w:val="00972DCD"/>
    <w:rsid w:val="009756B5"/>
    <w:rsid w:val="0098024F"/>
    <w:rsid w:val="009D4307"/>
    <w:rsid w:val="00A21CC6"/>
    <w:rsid w:val="00AB0AA8"/>
    <w:rsid w:val="00B57A12"/>
    <w:rsid w:val="00BE26E5"/>
    <w:rsid w:val="00C10673"/>
    <w:rsid w:val="00C37A65"/>
    <w:rsid w:val="00CC26CD"/>
    <w:rsid w:val="00CC3B2D"/>
    <w:rsid w:val="00D670F2"/>
    <w:rsid w:val="00DD744B"/>
    <w:rsid w:val="00DE4C53"/>
    <w:rsid w:val="00DE73EB"/>
    <w:rsid w:val="00E16248"/>
    <w:rsid w:val="00E25649"/>
    <w:rsid w:val="00E34E14"/>
    <w:rsid w:val="00E351F0"/>
    <w:rsid w:val="00E422BE"/>
    <w:rsid w:val="00EE3F14"/>
    <w:rsid w:val="00EF4EFD"/>
    <w:rsid w:val="00F060E1"/>
    <w:rsid w:val="00F71E7C"/>
    <w:rsid w:val="00F93062"/>
    <w:rsid w:val="00FE0E56"/>
    <w:rsid w:val="00FF2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9BC529E"/>
  <w15:chartTrackingRefBased/>
  <w15:docId w15:val="{CDAE94F3-1AF1-433E-B4BC-9D568F93B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D49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1">
    <w:name w:val="Grid Table 4 Accent 1"/>
    <w:basedOn w:val="TableNormal"/>
    <w:uiPriority w:val="49"/>
    <w:rsid w:val="00DE4C5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E256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5649"/>
  </w:style>
  <w:style w:type="paragraph" w:styleId="Footer">
    <w:name w:val="footer"/>
    <w:basedOn w:val="Normal"/>
    <w:link w:val="FooterChar"/>
    <w:uiPriority w:val="99"/>
    <w:unhideWhenUsed/>
    <w:rsid w:val="00E256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5649"/>
  </w:style>
  <w:style w:type="character" w:styleId="Strong">
    <w:name w:val="Strong"/>
    <w:basedOn w:val="DefaultParagraphFont"/>
    <w:uiPriority w:val="22"/>
    <w:qFormat/>
    <w:rsid w:val="00E25649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9802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024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024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02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024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E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E7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3055A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D67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E0E5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0E56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6A796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6A7963"/>
    <w:rPr>
      <w:rFonts w:ascii="Calibri" w:eastAsia="Calibri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3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hyperlink" Target="mailto:buckley@studentclearinghouse.org" TargetMode="External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yperlink" Target="mailto:kelzey@workcred.org" TargetMode="Externa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20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C305AD4-3758-4DAC-A9EA-47D4FA785C51}" type="doc">
      <dgm:prSet loTypeId="urn:microsoft.com/office/officeart/2005/8/layout/hList6" loCatId="list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en-US"/>
        </a:p>
      </dgm:t>
    </dgm:pt>
    <dgm:pt modelId="{CF73EB4D-EF0A-49DD-B2C3-D3257DB0122D}">
      <dgm:prSet phldrT="[Text]"/>
      <dgm:spPr>
        <a:solidFill>
          <a:srgbClr val="2AB29F"/>
        </a:solidFill>
      </dgm:spPr>
      <dgm:t>
        <a:bodyPr/>
        <a:lstStyle/>
        <a:p>
          <a:pPr algn="ctr"/>
          <a:r>
            <a:rPr lang="en-US" dirty="0"/>
            <a:t>Visibility</a:t>
          </a:r>
        </a:p>
      </dgm:t>
    </dgm:pt>
    <dgm:pt modelId="{E5C90B28-153E-49C2-ADD4-586125877099}" type="parTrans" cxnId="{5C5B847C-6D2D-4C57-9635-1CF130350791}">
      <dgm:prSet/>
      <dgm:spPr/>
      <dgm:t>
        <a:bodyPr/>
        <a:lstStyle/>
        <a:p>
          <a:pPr algn="ctr"/>
          <a:endParaRPr lang="en-US"/>
        </a:p>
      </dgm:t>
    </dgm:pt>
    <dgm:pt modelId="{960F3FC0-28A8-4BB6-84D0-33E4CA6E800A}" type="sibTrans" cxnId="{5C5B847C-6D2D-4C57-9635-1CF130350791}">
      <dgm:prSet/>
      <dgm:spPr/>
      <dgm:t>
        <a:bodyPr/>
        <a:lstStyle/>
        <a:p>
          <a:pPr algn="ctr"/>
          <a:endParaRPr lang="en-US"/>
        </a:p>
      </dgm:t>
    </dgm:pt>
    <dgm:pt modelId="{16CF0235-8B64-4C44-8ACE-8FC3C3AE6F70}">
      <dgm:prSet phldrT="[Text]"/>
      <dgm:spPr/>
      <dgm:t>
        <a:bodyPr/>
        <a:lstStyle/>
        <a:p>
          <a:pPr algn="ctr"/>
          <a:r>
            <a:rPr lang="en-US" dirty="0"/>
            <a:t>Credibility</a:t>
          </a:r>
        </a:p>
      </dgm:t>
    </dgm:pt>
    <dgm:pt modelId="{6C6A017C-3C9C-4E35-B8BE-2A09847825B8}" type="parTrans" cxnId="{2F29CFD2-2601-4EE9-ACB4-294D103764EE}">
      <dgm:prSet/>
      <dgm:spPr/>
      <dgm:t>
        <a:bodyPr/>
        <a:lstStyle/>
        <a:p>
          <a:pPr algn="ctr"/>
          <a:endParaRPr lang="en-US"/>
        </a:p>
      </dgm:t>
    </dgm:pt>
    <dgm:pt modelId="{029813E7-6E01-4734-A9D9-C0C0D810D6C3}" type="sibTrans" cxnId="{2F29CFD2-2601-4EE9-ACB4-294D103764EE}">
      <dgm:prSet/>
      <dgm:spPr/>
      <dgm:t>
        <a:bodyPr/>
        <a:lstStyle/>
        <a:p>
          <a:pPr algn="ctr"/>
          <a:endParaRPr lang="en-US"/>
        </a:p>
      </dgm:t>
    </dgm:pt>
    <dgm:pt modelId="{C5D49E6F-9488-4E54-98CB-6748B865B79F}">
      <dgm:prSet phldrT="[Text]"/>
      <dgm:spPr>
        <a:solidFill>
          <a:srgbClr val="0C76BC"/>
        </a:solidFill>
      </dgm:spPr>
      <dgm:t>
        <a:bodyPr/>
        <a:lstStyle/>
        <a:p>
          <a:pPr algn="ctr"/>
          <a:r>
            <a:rPr lang="en-US" dirty="0"/>
            <a:t>Strategic Planning</a:t>
          </a:r>
        </a:p>
      </dgm:t>
    </dgm:pt>
    <dgm:pt modelId="{78165B93-B2BE-48CA-9C4C-2AC1FC955965}" type="parTrans" cxnId="{A52118D5-ED1A-4566-A1F0-47DE0A56CFB1}">
      <dgm:prSet/>
      <dgm:spPr/>
      <dgm:t>
        <a:bodyPr/>
        <a:lstStyle/>
        <a:p>
          <a:pPr algn="ctr"/>
          <a:endParaRPr lang="en-US"/>
        </a:p>
      </dgm:t>
    </dgm:pt>
    <dgm:pt modelId="{E4BEE87D-F89C-46DB-BA85-51EEC9F05C4C}" type="sibTrans" cxnId="{A52118D5-ED1A-4566-A1F0-47DE0A56CFB1}">
      <dgm:prSet/>
      <dgm:spPr/>
      <dgm:t>
        <a:bodyPr/>
        <a:lstStyle/>
        <a:p>
          <a:pPr algn="ctr"/>
          <a:endParaRPr lang="en-US"/>
        </a:p>
      </dgm:t>
    </dgm:pt>
    <dgm:pt modelId="{8ABADA41-1B06-4DF9-BD3D-B9243E4D82CA}">
      <dgm:prSet phldrT="[Text]"/>
      <dgm:spPr>
        <a:solidFill>
          <a:srgbClr val="7030A0"/>
        </a:solidFill>
      </dgm:spPr>
      <dgm:t>
        <a:bodyPr/>
        <a:lstStyle/>
        <a:p>
          <a:pPr algn="ctr"/>
          <a:r>
            <a:rPr lang="en-US" dirty="0"/>
            <a:t>Marketing</a:t>
          </a:r>
        </a:p>
      </dgm:t>
    </dgm:pt>
    <dgm:pt modelId="{3002481A-B13D-4632-8058-14D1857BDBE8}" type="parTrans" cxnId="{E99EC55E-D1E7-4176-9B5B-8A467431D153}">
      <dgm:prSet/>
      <dgm:spPr/>
      <dgm:t>
        <a:bodyPr/>
        <a:lstStyle/>
        <a:p>
          <a:pPr algn="ctr"/>
          <a:endParaRPr lang="en-US"/>
        </a:p>
      </dgm:t>
    </dgm:pt>
    <dgm:pt modelId="{145E914D-09D2-4EFE-BD76-164F3090C038}" type="sibTrans" cxnId="{E99EC55E-D1E7-4176-9B5B-8A467431D153}">
      <dgm:prSet/>
      <dgm:spPr/>
      <dgm:t>
        <a:bodyPr/>
        <a:lstStyle/>
        <a:p>
          <a:pPr algn="ctr"/>
          <a:endParaRPr lang="en-US"/>
        </a:p>
      </dgm:t>
    </dgm:pt>
    <dgm:pt modelId="{7B66FB40-795A-40A4-9265-B9DF10377310}">
      <dgm:prSet phldrT="[Text]"/>
      <dgm:spPr>
        <a:solidFill>
          <a:schemeClr val="accent2"/>
        </a:solidFill>
      </dgm:spPr>
      <dgm:t>
        <a:bodyPr/>
        <a:lstStyle/>
        <a:p>
          <a:pPr algn="ctr"/>
          <a:r>
            <a:rPr lang="en-US" dirty="0"/>
            <a:t>Career Pathways</a:t>
          </a:r>
        </a:p>
      </dgm:t>
    </dgm:pt>
    <dgm:pt modelId="{23B85772-BC81-49A7-8B38-AC7E562CAEFC}" type="parTrans" cxnId="{7DEF0262-D04F-4588-B062-1242DE8552A8}">
      <dgm:prSet/>
      <dgm:spPr/>
      <dgm:t>
        <a:bodyPr/>
        <a:lstStyle/>
        <a:p>
          <a:pPr algn="ctr"/>
          <a:endParaRPr lang="en-US"/>
        </a:p>
      </dgm:t>
    </dgm:pt>
    <dgm:pt modelId="{114AC97F-5528-44DC-897B-2500B1237EBD}" type="sibTrans" cxnId="{7DEF0262-D04F-4588-B062-1242DE8552A8}">
      <dgm:prSet/>
      <dgm:spPr/>
      <dgm:t>
        <a:bodyPr/>
        <a:lstStyle/>
        <a:p>
          <a:pPr algn="ctr"/>
          <a:endParaRPr lang="en-US"/>
        </a:p>
      </dgm:t>
    </dgm:pt>
    <dgm:pt modelId="{C7D2017E-DBE9-45F2-9A58-43B7377F63F6}" type="pres">
      <dgm:prSet presAssocID="{7C305AD4-3758-4DAC-A9EA-47D4FA785C51}" presName="Name0" presStyleCnt="0">
        <dgm:presLayoutVars>
          <dgm:dir/>
          <dgm:resizeHandles val="exact"/>
        </dgm:presLayoutVars>
      </dgm:prSet>
      <dgm:spPr/>
    </dgm:pt>
    <dgm:pt modelId="{53167538-FC54-482A-9C6E-2D6A63058F20}" type="pres">
      <dgm:prSet presAssocID="{CF73EB4D-EF0A-49DD-B2C3-D3257DB0122D}" presName="node" presStyleLbl="node1" presStyleIdx="0" presStyleCnt="5">
        <dgm:presLayoutVars>
          <dgm:bulletEnabled val="1"/>
        </dgm:presLayoutVars>
      </dgm:prSet>
      <dgm:spPr/>
    </dgm:pt>
    <dgm:pt modelId="{C729A4A7-CB5F-4D13-A1A6-1FEAA3B29735}" type="pres">
      <dgm:prSet presAssocID="{960F3FC0-28A8-4BB6-84D0-33E4CA6E800A}" presName="sibTrans" presStyleCnt="0"/>
      <dgm:spPr/>
    </dgm:pt>
    <dgm:pt modelId="{3B6DA359-C70B-47B9-8267-6AAF9B7DC935}" type="pres">
      <dgm:prSet presAssocID="{16CF0235-8B64-4C44-8ACE-8FC3C3AE6F70}" presName="node" presStyleLbl="node1" presStyleIdx="1" presStyleCnt="5">
        <dgm:presLayoutVars>
          <dgm:bulletEnabled val="1"/>
        </dgm:presLayoutVars>
      </dgm:prSet>
      <dgm:spPr/>
    </dgm:pt>
    <dgm:pt modelId="{760DF3B5-6E08-4EDD-ADAE-B7D9F7416230}" type="pres">
      <dgm:prSet presAssocID="{029813E7-6E01-4734-A9D9-C0C0D810D6C3}" presName="sibTrans" presStyleCnt="0"/>
      <dgm:spPr/>
    </dgm:pt>
    <dgm:pt modelId="{4C14E441-1D1E-42C5-BC0D-DB9F2FDD37EE}" type="pres">
      <dgm:prSet presAssocID="{C5D49E6F-9488-4E54-98CB-6748B865B79F}" presName="node" presStyleLbl="node1" presStyleIdx="2" presStyleCnt="5" custLinFactNeighborY="1563">
        <dgm:presLayoutVars>
          <dgm:bulletEnabled val="1"/>
        </dgm:presLayoutVars>
      </dgm:prSet>
      <dgm:spPr/>
    </dgm:pt>
    <dgm:pt modelId="{7E1AEFFD-49FC-4DF1-B4EB-1E3D38DA7DB0}" type="pres">
      <dgm:prSet presAssocID="{E4BEE87D-F89C-46DB-BA85-51EEC9F05C4C}" presName="sibTrans" presStyleCnt="0"/>
      <dgm:spPr/>
    </dgm:pt>
    <dgm:pt modelId="{A1DD3BFD-D07C-48B3-990C-7318121836CE}" type="pres">
      <dgm:prSet presAssocID="{8ABADA41-1B06-4DF9-BD3D-B9243E4D82CA}" presName="node" presStyleLbl="node1" presStyleIdx="3" presStyleCnt="5" custLinFactNeighborY="1563">
        <dgm:presLayoutVars>
          <dgm:bulletEnabled val="1"/>
        </dgm:presLayoutVars>
      </dgm:prSet>
      <dgm:spPr/>
    </dgm:pt>
    <dgm:pt modelId="{93C55952-1CE5-430D-93D1-7676FA6699A8}" type="pres">
      <dgm:prSet presAssocID="{145E914D-09D2-4EFE-BD76-164F3090C038}" presName="sibTrans" presStyleCnt="0"/>
      <dgm:spPr/>
    </dgm:pt>
    <dgm:pt modelId="{C2FF9598-4993-4AD2-AB46-14258FF0ACCE}" type="pres">
      <dgm:prSet presAssocID="{7B66FB40-795A-40A4-9265-B9DF10377310}" presName="node" presStyleLbl="node1" presStyleIdx="4" presStyleCnt="5">
        <dgm:presLayoutVars>
          <dgm:bulletEnabled val="1"/>
        </dgm:presLayoutVars>
      </dgm:prSet>
      <dgm:spPr/>
    </dgm:pt>
  </dgm:ptLst>
  <dgm:cxnLst>
    <dgm:cxn modelId="{669BC10D-8129-4551-90E4-EBAB35F2665A}" type="presOf" srcId="{C5D49E6F-9488-4E54-98CB-6748B865B79F}" destId="{4C14E441-1D1E-42C5-BC0D-DB9F2FDD37EE}" srcOrd="0" destOrd="0" presId="urn:microsoft.com/office/officeart/2005/8/layout/hList6"/>
    <dgm:cxn modelId="{A43C8F1C-8767-4A8C-A350-C0F4051B17BB}" type="presOf" srcId="{16CF0235-8B64-4C44-8ACE-8FC3C3AE6F70}" destId="{3B6DA359-C70B-47B9-8267-6AAF9B7DC935}" srcOrd="0" destOrd="0" presId="urn:microsoft.com/office/officeart/2005/8/layout/hList6"/>
    <dgm:cxn modelId="{E99EC55E-D1E7-4176-9B5B-8A467431D153}" srcId="{7C305AD4-3758-4DAC-A9EA-47D4FA785C51}" destId="{8ABADA41-1B06-4DF9-BD3D-B9243E4D82CA}" srcOrd="3" destOrd="0" parTransId="{3002481A-B13D-4632-8058-14D1857BDBE8}" sibTransId="{145E914D-09D2-4EFE-BD76-164F3090C038}"/>
    <dgm:cxn modelId="{7DEF0262-D04F-4588-B062-1242DE8552A8}" srcId="{7C305AD4-3758-4DAC-A9EA-47D4FA785C51}" destId="{7B66FB40-795A-40A4-9265-B9DF10377310}" srcOrd="4" destOrd="0" parTransId="{23B85772-BC81-49A7-8B38-AC7E562CAEFC}" sibTransId="{114AC97F-5528-44DC-897B-2500B1237EBD}"/>
    <dgm:cxn modelId="{D88C6E52-D97D-42CD-88A9-CE97363A1663}" type="presOf" srcId="{CF73EB4D-EF0A-49DD-B2C3-D3257DB0122D}" destId="{53167538-FC54-482A-9C6E-2D6A63058F20}" srcOrd="0" destOrd="0" presId="urn:microsoft.com/office/officeart/2005/8/layout/hList6"/>
    <dgm:cxn modelId="{5C5B847C-6D2D-4C57-9635-1CF130350791}" srcId="{7C305AD4-3758-4DAC-A9EA-47D4FA785C51}" destId="{CF73EB4D-EF0A-49DD-B2C3-D3257DB0122D}" srcOrd="0" destOrd="0" parTransId="{E5C90B28-153E-49C2-ADD4-586125877099}" sibTransId="{960F3FC0-28A8-4BB6-84D0-33E4CA6E800A}"/>
    <dgm:cxn modelId="{6D533DB0-99FE-4BCD-87AF-9387DC7F688C}" type="presOf" srcId="{8ABADA41-1B06-4DF9-BD3D-B9243E4D82CA}" destId="{A1DD3BFD-D07C-48B3-990C-7318121836CE}" srcOrd="0" destOrd="0" presId="urn:microsoft.com/office/officeart/2005/8/layout/hList6"/>
    <dgm:cxn modelId="{2F29CFD2-2601-4EE9-ACB4-294D103764EE}" srcId="{7C305AD4-3758-4DAC-A9EA-47D4FA785C51}" destId="{16CF0235-8B64-4C44-8ACE-8FC3C3AE6F70}" srcOrd="1" destOrd="0" parTransId="{6C6A017C-3C9C-4E35-B8BE-2A09847825B8}" sibTransId="{029813E7-6E01-4734-A9D9-C0C0D810D6C3}"/>
    <dgm:cxn modelId="{A52118D5-ED1A-4566-A1F0-47DE0A56CFB1}" srcId="{7C305AD4-3758-4DAC-A9EA-47D4FA785C51}" destId="{C5D49E6F-9488-4E54-98CB-6748B865B79F}" srcOrd="2" destOrd="0" parTransId="{78165B93-B2BE-48CA-9C4C-2AC1FC955965}" sibTransId="{E4BEE87D-F89C-46DB-BA85-51EEC9F05C4C}"/>
    <dgm:cxn modelId="{0691D0F3-185E-447E-8FA7-692BD625A35F}" type="presOf" srcId="{7B66FB40-795A-40A4-9265-B9DF10377310}" destId="{C2FF9598-4993-4AD2-AB46-14258FF0ACCE}" srcOrd="0" destOrd="0" presId="urn:microsoft.com/office/officeart/2005/8/layout/hList6"/>
    <dgm:cxn modelId="{21FF4BF5-789D-409D-91D4-33FBA8A66C55}" type="presOf" srcId="{7C305AD4-3758-4DAC-A9EA-47D4FA785C51}" destId="{C7D2017E-DBE9-45F2-9A58-43B7377F63F6}" srcOrd="0" destOrd="0" presId="urn:microsoft.com/office/officeart/2005/8/layout/hList6"/>
    <dgm:cxn modelId="{78183984-8915-469F-B1B9-74847A5C24FA}" type="presParOf" srcId="{C7D2017E-DBE9-45F2-9A58-43B7377F63F6}" destId="{53167538-FC54-482A-9C6E-2D6A63058F20}" srcOrd="0" destOrd="0" presId="urn:microsoft.com/office/officeart/2005/8/layout/hList6"/>
    <dgm:cxn modelId="{85A61318-7EB4-490A-8DCD-6FD90D2B0927}" type="presParOf" srcId="{C7D2017E-DBE9-45F2-9A58-43B7377F63F6}" destId="{C729A4A7-CB5F-4D13-A1A6-1FEAA3B29735}" srcOrd="1" destOrd="0" presId="urn:microsoft.com/office/officeart/2005/8/layout/hList6"/>
    <dgm:cxn modelId="{0C6F6A41-0768-4ECD-BA04-2E77E80C25C4}" type="presParOf" srcId="{C7D2017E-DBE9-45F2-9A58-43B7377F63F6}" destId="{3B6DA359-C70B-47B9-8267-6AAF9B7DC935}" srcOrd="2" destOrd="0" presId="urn:microsoft.com/office/officeart/2005/8/layout/hList6"/>
    <dgm:cxn modelId="{2E8158D2-525C-488F-BCCB-46FB5F706178}" type="presParOf" srcId="{C7D2017E-DBE9-45F2-9A58-43B7377F63F6}" destId="{760DF3B5-6E08-4EDD-ADAE-B7D9F7416230}" srcOrd="3" destOrd="0" presId="urn:microsoft.com/office/officeart/2005/8/layout/hList6"/>
    <dgm:cxn modelId="{9A0B45CF-4889-4CB3-BCC1-7D5D1BBB1544}" type="presParOf" srcId="{C7D2017E-DBE9-45F2-9A58-43B7377F63F6}" destId="{4C14E441-1D1E-42C5-BC0D-DB9F2FDD37EE}" srcOrd="4" destOrd="0" presId="urn:microsoft.com/office/officeart/2005/8/layout/hList6"/>
    <dgm:cxn modelId="{24AC0443-5AB7-4442-B464-4F173E2D0F59}" type="presParOf" srcId="{C7D2017E-DBE9-45F2-9A58-43B7377F63F6}" destId="{7E1AEFFD-49FC-4DF1-B4EB-1E3D38DA7DB0}" srcOrd="5" destOrd="0" presId="urn:microsoft.com/office/officeart/2005/8/layout/hList6"/>
    <dgm:cxn modelId="{41D795A9-BE2A-4D4E-BC74-41CC1F5EA4BC}" type="presParOf" srcId="{C7D2017E-DBE9-45F2-9A58-43B7377F63F6}" destId="{A1DD3BFD-D07C-48B3-990C-7318121836CE}" srcOrd="6" destOrd="0" presId="urn:microsoft.com/office/officeart/2005/8/layout/hList6"/>
    <dgm:cxn modelId="{CF900DE9-FDB5-4BAD-ABB4-C91309ED8166}" type="presParOf" srcId="{C7D2017E-DBE9-45F2-9A58-43B7377F63F6}" destId="{93C55952-1CE5-430D-93D1-7676FA6699A8}" srcOrd="7" destOrd="0" presId="urn:microsoft.com/office/officeart/2005/8/layout/hList6"/>
    <dgm:cxn modelId="{1AC8ED03-27EE-419D-90FD-BC6FEAC16F97}" type="presParOf" srcId="{C7D2017E-DBE9-45F2-9A58-43B7377F63F6}" destId="{C2FF9598-4993-4AD2-AB46-14258FF0ACCE}" srcOrd="8" destOrd="0" presId="urn:microsoft.com/office/officeart/2005/8/layout/hList6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3167538-FC54-482A-9C6E-2D6A63058F20}">
      <dsp:nvSpPr>
        <dsp:cNvPr id="0" name=""/>
        <dsp:cNvSpPr/>
      </dsp:nvSpPr>
      <dsp:spPr>
        <a:xfrm rot="16200000">
          <a:off x="-853528" y="855789"/>
          <a:ext cx="2505074" cy="793495"/>
        </a:xfrm>
        <a:prstGeom prst="flowChartManualOperation">
          <a:avLst/>
        </a:prstGeom>
        <a:solidFill>
          <a:srgbClr val="2AB29F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0" rIns="78173" bIns="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 dirty="0"/>
            <a:t>Visibility</a:t>
          </a:r>
        </a:p>
      </dsp:txBody>
      <dsp:txXfrm rot="5400000">
        <a:off x="2261" y="501015"/>
        <a:ext cx="793495" cy="1503044"/>
      </dsp:txXfrm>
    </dsp:sp>
    <dsp:sp modelId="{3B6DA359-C70B-47B9-8267-6AAF9B7DC935}">
      <dsp:nvSpPr>
        <dsp:cNvPr id="0" name=""/>
        <dsp:cNvSpPr/>
      </dsp:nvSpPr>
      <dsp:spPr>
        <a:xfrm rot="16200000">
          <a:off x="-520" y="855789"/>
          <a:ext cx="2505074" cy="793495"/>
        </a:xfrm>
        <a:prstGeom prst="flowChartManualOperation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0" rIns="78173" bIns="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 dirty="0"/>
            <a:t>Credibility</a:t>
          </a:r>
        </a:p>
      </dsp:txBody>
      <dsp:txXfrm rot="5400000">
        <a:off x="855269" y="501015"/>
        <a:ext cx="793495" cy="1503044"/>
      </dsp:txXfrm>
    </dsp:sp>
    <dsp:sp modelId="{4C14E441-1D1E-42C5-BC0D-DB9F2FDD37EE}">
      <dsp:nvSpPr>
        <dsp:cNvPr id="0" name=""/>
        <dsp:cNvSpPr/>
      </dsp:nvSpPr>
      <dsp:spPr>
        <a:xfrm rot="16200000">
          <a:off x="852487" y="855789"/>
          <a:ext cx="2505074" cy="793495"/>
        </a:xfrm>
        <a:prstGeom prst="flowChartManualOperation">
          <a:avLst/>
        </a:prstGeom>
        <a:solidFill>
          <a:srgbClr val="0C76BC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0" rIns="78173" bIns="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 dirty="0"/>
            <a:t>Strategic Planning</a:t>
          </a:r>
        </a:p>
      </dsp:txBody>
      <dsp:txXfrm rot="5400000">
        <a:off x="1708276" y="501015"/>
        <a:ext cx="793495" cy="1503044"/>
      </dsp:txXfrm>
    </dsp:sp>
    <dsp:sp modelId="{A1DD3BFD-D07C-48B3-990C-7318121836CE}">
      <dsp:nvSpPr>
        <dsp:cNvPr id="0" name=""/>
        <dsp:cNvSpPr/>
      </dsp:nvSpPr>
      <dsp:spPr>
        <a:xfrm rot="16200000">
          <a:off x="1705495" y="855789"/>
          <a:ext cx="2505074" cy="793495"/>
        </a:xfrm>
        <a:prstGeom prst="flowChartManualOperation">
          <a:avLst/>
        </a:prstGeom>
        <a:solidFill>
          <a:srgbClr val="7030A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0" rIns="78173" bIns="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 dirty="0"/>
            <a:t>Marketing</a:t>
          </a:r>
        </a:p>
      </dsp:txBody>
      <dsp:txXfrm rot="5400000">
        <a:off x="2561284" y="501015"/>
        <a:ext cx="793495" cy="1503044"/>
      </dsp:txXfrm>
    </dsp:sp>
    <dsp:sp modelId="{C2FF9598-4993-4AD2-AB46-14258FF0ACCE}">
      <dsp:nvSpPr>
        <dsp:cNvPr id="0" name=""/>
        <dsp:cNvSpPr/>
      </dsp:nvSpPr>
      <dsp:spPr>
        <a:xfrm rot="16200000">
          <a:off x="2558503" y="855789"/>
          <a:ext cx="2505074" cy="793495"/>
        </a:xfrm>
        <a:prstGeom prst="flowChartManualOperation">
          <a:avLst/>
        </a:prstGeom>
        <a:solidFill>
          <a:schemeClr val="accent2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0" rIns="78173" bIns="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 dirty="0"/>
            <a:t>Career Pathways</a:t>
          </a:r>
        </a:p>
      </dsp:txBody>
      <dsp:txXfrm rot="5400000">
        <a:off x="3414292" y="501015"/>
        <a:ext cx="793495" cy="150304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List6">
  <dgm:title val=""/>
  <dgm:desc val=""/>
  <dgm:catLst>
    <dgm:cat type="list" pri="18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h" for="ch" ptType="node" refType="h"/>
      <dgm:constr type="w" for="ch" ptType="node" refType="w"/>
      <dgm:constr type="primFontSz" for="ch" ptType="node" op="equ"/>
      <dgm:constr type="w" for="ch" forName="sibTrans" refType="w" fact="0.075"/>
    </dgm:constrLst>
    <dgm:ruleLst/>
    <dgm:forEach name="nodesForEach" axis="ch" ptType="node">
      <dgm:layoutNode name="node">
        <dgm:varLst>
          <dgm:bulletEnabled val="1"/>
        </dgm:varLst>
        <dgm:alg type="tx"/>
        <dgm:choose name="Name4">
          <dgm:if name="Name5" func="var" arg="dir" op="equ" val="norm">
            <dgm:shape xmlns:r="http://schemas.openxmlformats.org/officeDocument/2006/relationships" rot="-90" type="flowChartManualOperation" r:blip="">
              <dgm:adjLst/>
            </dgm:shape>
          </dgm:if>
          <dgm:else name="Name6">
            <dgm:shape xmlns:r="http://schemas.openxmlformats.org/officeDocument/2006/relationships" rot="90" type="flowChartManualOperation" r:blip="">
              <dgm:adjLst/>
            </dgm:shape>
          </dgm:else>
        </dgm:choose>
        <dgm:presOf axis="desOrSelf" ptType="node"/>
        <dgm:constrLst>
          <dgm:constr type="primFontSz" val="65"/>
          <dgm:constr type="tMarg"/>
          <dgm:constr type="bMarg"/>
          <dgm:constr type="lMarg" refType="primFontSz" fact="0.5"/>
          <dgm:constr type="rMarg" refType="lMarg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orkcred_x0020_Group xmlns="e58fa966-024c-470a-aae1-bbb0067996d6" xsi:nil="true"/>
    <Meeting_x0020_Date xmlns="e58fa966-024c-470a-aae1-bbb0067996d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D55462DBACFA4E8A676F062677425D" ma:contentTypeVersion="10" ma:contentTypeDescription="Create a new document." ma:contentTypeScope="" ma:versionID="fb6218331353cae619bb6363dd248a00">
  <xsd:schema xmlns:xsd="http://www.w3.org/2001/XMLSchema" xmlns:xs="http://www.w3.org/2001/XMLSchema" xmlns:p="http://schemas.microsoft.com/office/2006/metadata/properties" xmlns:ns2="e58fa966-024c-470a-aae1-bbb0067996d6" targetNamespace="http://schemas.microsoft.com/office/2006/metadata/properties" ma:root="true" ma:fieldsID="095e945631d94293f8374007bbad5b4e" ns2:_="">
    <xsd:import namespace="e58fa966-024c-470a-aae1-bbb0067996d6"/>
    <xsd:element name="properties">
      <xsd:complexType>
        <xsd:sequence>
          <xsd:element name="documentManagement">
            <xsd:complexType>
              <xsd:all>
                <xsd:element ref="ns2:Workcred_x0020_Group" minOccurs="0"/>
                <xsd:element ref="ns2:Meeting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8fa966-024c-470a-aae1-bbb0067996d6" elementFormDefault="qualified">
    <xsd:import namespace="http://schemas.microsoft.com/office/2006/documentManagement/types"/>
    <xsd:import namespace="http://schemas.microsoft.com/office/infopath/2007/PartnerControls"/>
    <xsd:element name="Workcred_x0020_Group" ma:index="4" nillable="true" ma:displayName="Workcred Group" ma:format="Dropdown" ma:internalName="Workcred_x0020_Group" ma:readOnly="false">
      <xsd:simpleType>
        <xsd:restriction base="dms:Choice">
          <xsd:enumeration value="Government Credentialing Network"/>
          <xsd:enumeration value="Executive Advisory Council"/>
          <xsd:enumeration value="Research Advisory Council"/>
          <xsd:enumeration value="Credentialing Body Advisory Council"/>
          <xsd:enumeration value="General"/>
        </xsd:restriction>
      </xsd:simpleType>
    </xsd:element>
    <xsd:element name="Meeting_x0020_Date" ma:index="5" nillable="true" ma:displayName="Meeting Date" ma:format="DateOnly" ma:internalName="Meeting_x0020_Date" ma:readOnly="fals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2F33AD-1522-472C-8081-57460DF650F0}"/>
</file>

<file path=customXml/itemProps2.xml><?xml version="1.0" encoding="utf-8"?>
<ds:datastoreItem xmlns:ds="http://schemas.openxmlformats.org/officeDocument/2006/customXml" ds:itemID="{5293F1E4-1687-4BFC-BDA4-829881144FED}"/>
</file>

<file path=customXml/itemProps3.xml><?xml version="1.0" encoding="utf-8"?>
<ds:datastoreItem xmlns:ds="http://schemas.openxmlformats.org/officeDocument/2006/customXml" ds:itemID="{3E2F33AD-1522-472C-8081-57460DF650F0}"/>
</file>

<file path=customXml/itemProps4.xml><?xml version="1.0" encoding="utf-8"?>
<ds:datastoreItem xmlns:ds="http://schemas.openxmlformats.org/officeDocument/2006/customXml" ds:itemID="{4E6A1E23-67C4-474A-8BE9-4D7EDA74FE5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Elzey</dc:creator>
  <cp:keywords/>
  <dc:description/>
  <cp:lastModifiedBy>Karen  Elzey</cp:lastModifiedBy>
  <cp:revision>2</cp:revision>
  <dcterms:created xsi:type="dcterms:W3CDTF">2022-06-23T19:47:00Z</dcterms:created>
  <dcterms:modified xsi:type="dcterms:W3CDTF">2022-06-23T19:47:00Z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0x0101005CD55462DBACFA4E8A676F062677425D</vt:lpwstr>
  </property>
  <property fmtid="{D5CDD505-2E9C-101B-9397-08002B2CF9AE}" pid="3" name="_dlc_DocIdItemGuid">
    <vt:lpwstr>76dc3d74-5601-484e-bfb1-f92d5348309e</vt:lpwstr>
  </property>
</Properties>
</file>