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1DE00" w14:textId="7233FAE3" w:rsidR="004D654A" w:rsidRDefault="00C8412E" w:rsidP="00020EF5">
      <w:pPr>
        <w:spacing w:before="240"/>
        <w:jc w:val="center"/>
        <w:rPr>
          <w:b/>
          <w:color w:val="0070C0"/>
          <w:sz w:val="28"/>
          <w:szCs w:val="28"/>
        </w:rPr>
      </w:pPr>
      <w:r>
        <w:rPr>
          <w:b/>
          <w:color w:val="0070C0"/>
          <w:sz w:val="28"/>
          <w:szCs w:val="28"/>
        </w:rPr>
        <w:t xml:space="preserve">Industry Credentials Initiative </w:t>
      </w:r>
      <w:r w:rsidR="004D654A">
        <w:rPr>
          <w:b/>
          <w:color w:val="0070C0"/>
          <w:sz w:val="28"/>
          <w:szCs w:val="28"/>
        </w:rPr>
        <w:t>and Demonstrate Value</w:t>
      </w:r>
      <w:r w:rsidR="004D654A">
        <w:rPr>
          <w:b/>
          <w:color w:val="0070C0"/>
          <w:sz w:val="28"/>
          <w:szCs w:val="28"/>
        </w:rPr>
        <w:br/>
        <w:t>Through Linking Data Network</w:t>
      </w:r>
    </w:p>
    <w:p w14:paraId="071F24FB" w14:textId="64C9B5AE" w:rsidR="001C5D2B" w:rsidRDefault="00F96CF1" w:rsidP="00020EF5">
      <w:pPr>
        <w:spacing w:after="240"/>
        <w:jc w:val="center"/>
        <w:rPr>
          <w:b/>
          <w:color w:val="0070C0"/>
          <w:sz w:val="28"/>
          <w:szCs w:val="28"/>
        </w:rPr>
      </w:pPr>
      <w:r>
        <w:rPr>
          <w:b/>
          <w:color w:val="0070C0"/>
          <w:sz w:val="28"/>
          <w:szCs w:val="28"/>
        </w:rPr>
        <w:t>Frequently Asked Questions</w:t>
      </w:r>
    </w:p>
    <w:p w14:paraId="294BBCF6" w14:textId="1D26248B" w:rsidR="003D68A6" w:rsidRPr="003D68A6" w:rsidRDefault="003D68A6" w:rsidP="003D68A6">
      <w:pPr>
        <w:spacing w:after="240"/>
        <w:rPr>
          <w:b/>
          <w:color w:val="0070C0"/>
          <w:sz w:val="28"/>
          <w:szCs w:val="28"/>
          <w:u w:val="single"/>
        </w:rPr>
      </w:pPr>
      <w:r w:rsidRPr="003D68A6">
        <w:rPr>
          <w:b/>
          <w:color w:val="0070C0"/>
          <w:sz w:val="28"/>
          <w:szCs w:val="28"/>
          <w:u w:val="single"/>
        </w:rPr>
        <w:t>Background and Partners</w:t>
      </w:r>
    </w:p>
    <w:p w14:paraId="58E4EC17" w14:textId="77777777" w:rsidR="00F96CF1" w:rsidRPr="00117215" w:rsidRDefault="00F96CF1" w:rsidP="004F0FF5">
      <w:pPr>
        <w:pStyle w:val="BodyText"/>
        <w:tabs>
          <w:tab w:val="left" w:pos="720"/>
        </w:tabs>
        <w:spacing w:after="160" w:line="259" w:lineRule="auto"/>
        <w:rPr>
          <w:b/>
          <w:color w:val="0070C0"/>
          <w:sz w:val="22"/>
        </w:rPr>
      </w:pPr>
      <w:r w:rsidRPr="00117215">
        <w:rPr>
          <w:b/>
          <w:color w:val="0070C0"/>
          <w:sz w:val="22"/>
        </w:rPr>
        <w:t>Q:</w:t>
      </w:r>
      <w:r w:rsidRPr="00117215">
        <w:rPr>
          <w:b/>
          <w:color w:val="0070C0"/>
          <w:sz w:val="22"/>
        </w:rPr>
        <w:tab/>
        <w:t>What is the Industry Credentials</w:t>
      </w:r>
      <w:r w:rsidRPr="00117215">
        <w:rPr>
          <w:b/>
          <w:color w:val="0070C0"/>
          <w:spacing w:val="-11"/>
          <w:sz w:val="22"/>
        </w:rPr>
        <w:t xml:space="preserve"> </w:t>
      </w:r>
      <w:r w:rsidRPr="00117215">
        <w:rPr>
          <w:b/>
          <w:color w:val="0070C0"/>
          <w:sz w:val="22"/>
        </w:rPr>
        <w:t>Initiative?</w:t>
      </w:r>
    </w:p>
    <w:p w14:paraId="614201D3" w14:textId="30F46868" w:rsidR="00F96CF1" w:rsidRPr="00C8412E" w:rsidRDefault="00F96CF1" w:rsidP="004F0FF5">
      <w:pPr>
        <w:pStyle w:val="BodyText"/>
        <w:tabs>
          <w:tab w:val="left" w:pos="720"/>
        </w:tabs>
        <w:spacing w:after="160" w:line="259" w:lineRule="auto"/>
        <w:ind w:left="720" w:right="315" w:hanging="720"/>
        <w:rPr>
          <w:sz w:val="22"/>
        </w:rPr>
      </w:pPr>
      <w:r w:rsidRPr="00C8412E">
        <w:rPr>
          <w:sz w:val="22"/>
        </w:rPr>
        <w:t>A:</w:t>
      </w:r>
      <w:r w:rsidRPr="00C8412E">
        <w:rPr>
          <w:sz w:val="22"/>
        </w:rPr>
        <w:tab/>
        <w:t xml:space="preserve">This is a landmark initiative developed </w:t>
      </w:r>
      <w:r w:rsidR="00CF681E">
        <w:rPr>
          <w:sz w:val="22"/>
        </w:rPr>
        <w:t>by the National Student Clearinghouse (the Clearinghouse)</w:t>
      </w:r>
      <w:r w:rsidR="003D68A6">
        <w:rPr>
          <w:sz w:val="22"/>
        </w:rPr>
        <w:t xml:space="preserve"> in partnership with </w:t>
      </w:r>
      <w:r w:rsidRPr="00C8412E">
        <w:rPr>
          <w:sz w:val="22"/>
        </w:rPr>
        <w:t>the National</w:t>
      </w:r>
      <w:r w:rsidRPr="00C8412E">
        <w:rPr>
          <w:spacing w:val="-23"/>
          <w:sz w:val="22"/>
        </w:rPr>
        <w:t xml:space="preserve"> </w:t>
      </w:r>
      <w:r w:rsidRPr="00C8412E">
        <w:rPr>
          <w:sz w:val="22"/>
        </w:rPr>
        <w:t>Association</w:t>
      </w:r>
      <w:r w:rsidRPr="00C8412E">
        <w:rPr>
          <w:spacing w:val="-4"/>
          <w:sz w:val="22"/>
        </w:rPr>
        <w:t xml:space="preserve"> </w:t>
      </w:r>
      <w:r w:rsidRPr="00C8412E">
        <w:rPr>
          <w:sz w:val="22"/>
        </w:rPr>
        <w:t>of Manufacturers</w:t>
      </w:r>
      <w:r w:rsidR="00CF681E">
        <w:rPr>
          <w:sz w:val="22"/>
        </w:rPr>
        <w:t xml:space="preserve"> Manufacturing Institute and the U.S. Census Bureau</w:t>
      </w:r>
      <w:r w:rsidR="000D49FA">
        <w:rPr>
          <w:sz w:val="22"/>
        </w:rPr>
        <w:t xml:space="preserve"> (Census Bureau)</w:t>
      </w:r>
      <w:r w:rsidRPr="00C8412E">
        <w:rPr>
          <w:sz w:val="22"/>
        </w:rPr>
        <w:t>. The overarching goal of the initiative is to create a public-private data infrastructure that connects education attainment data with industry recognized credential attainment data</w:t>
      </w:r>
      <w:r w:rsidR="00CF681E">
        <w:rPr>
          <w:sz w:val="22"/>
        </w:rPr>
        <w:t xml:space="preserve"> (e.g., certifications and certificates)</w:t>
      </w:r>
      <w:r w:rsidRPr="00C8412E">
        <w:rPr>
          <w:sz w:val="22"/>
        </w:rPr>
        <w:t xml:space="preserve"> and, aggregate labor</w:t>
      </w:r>
      <w:r w:rsidR="009A6F88">
        <w:rPr>
          <w:sz w:val="22"/>
        </w:rPr>
        <w:t>-</w:t>
      </w:r>
      <w:r w:rsidRPr="00C8412E">
        <w:rPr>
          <w:sz w:val="22"/>
        </w:rPr>
        <w:t xml:space="preserve">market outcomes for the purposes of understanding successful </w:t>
      </w:r>
      <w:r w:rsidR="00CF681E">
        <w:rPr>
          <w:sz w:val="22"/>
        </w:rPr>
        <w:t xml:space="preserve">career and credential </w:t>
      </w:r>
      <w:r w:rsidRPr="00C8412E">
        <w:rPr>
          <w:sz w:val="22"/>
        </w:rPr>
        <w:t>pathways to the</w:t>
      </w:r>
      <w:r w:rsidRPr="00C8412E">
        <w:rPr>
          <w:spacing w:val="-24"/>
          <w:sz w:val="22"/>
        </w:rPr>
        <w:t xml:space="preserve"> </w:t>
      </w:r>
      <w:r w:rsidRPr="00C8412E">
        <w:rPr>
          <w:sz w:val="22"/>
        </w:rPr>
        <w:t>workforce.</w:t>
      </w:r>
    </w:p>
    <w:p w14:paraId="4097F8F5" w14:textId="77777777" w:rsidR="003D68A6" w:rsidRPr="00117215" w:rsidRDefault="003D68A6" w:rsidP="003D68A6">
      <w:pPr>
        <w:pStyle w:val="BodyText"/>
        <w:tabs>
          <w:tab w:val="left" w:pos="720"/>
        </w:tabs>
        <w:spacing w:after="160" w:line="259" w:lineRule="auto"/>
        <w:rPr>
          <w:b/>
          <w:color w:val="0070C0"/>
          <w:sz w:val="22"/>
        </w:rPr>
      </w:pPr>
      <w:r w:rsidRPr="00117215">
        <w:rPr>
          <w:b/>
          <w:color w:val="0070C0"/>
          <w:sz w:val="22"/>
        </w:rPr>
        <w:t>Q:</w:t>
      </w:r>
      <w:r w:rsidRPr="00117215">
        <w:rPr>
          <w:b/>
          <w:color w:val="0070C0"/>
          <w:sz w:val="22"/>
        </w:rPr>
        <w:tab/>
        <w:t xml:space="preserve">What is the </w:t>
      </w:r>
      <w:r>
        <w:rPr>
          <w:b/>
          <w:color w:val="0070C0"/>
          <w:sz w:val="22"/>
        </w:rPr>
        <w:t>Demonstrate Value Through Linking Data Network</w:t>
      </w:r>
      <w:r w:rsidRPr="00117215">
        <w:rPr>
          <w:b/>
          <w:color w:val="0070C0"/>
          <w:sz w:val="22"/>
        </w:rPr>
        <w:t>?</w:t>
      </w:r>
    </w:p>
    <w:p w14:paraId="2136A300" w14:textId="68EBBC47" w:rsidR="003D68A6" w:rsidRDefault="003D68A6" w:rsidP="003D68A6">
      <w:pPr>
        <w:pStyle w:val="BodyText"/>
        <w:tabs>
          <w:tab w:val="left" w:pos="720"/>
        </w:tabs>
        <w:spacing w:after="160" w:line="259" w:lineRule="auto"/>
        <w:ind w:left="720" w:right="315" w:hanging="720"/>
        <w:rPr>
          <w:sz w:val="22"/>
        </w:rPr>
      </w:pPr>
      <w:r w:rsidRPr="00C8412E">
        <w:rPr>
          <w:sz w:val="22"/>
        </w:rPr>
        <w:t>A:</w:t>
      </w:r>
      <w:r w:rsidRPr="00C8412E">
        <w:rPr>
          <w:sz w:val="22"/>
        </w:rPr>
        <w:tab/>
      </w:r>
      <w:r>
        <w:rPr>
          <w:sz w:val="22"/>
        </w:rPr>
        <w:t xml:space="preserve">Workcred </w:t>
      </w:r>
      <w:r w:rsidRPr="005069A2">
        <w:rPr>
          <w:sz w:val="22"/>
        </w:rPr>
        <w:t>is convening a network of certification bodies to explore the potential for data-linking efforts to improve understanding of the value of certifications, the labor</w:t>
      </w:r>
      <w:r w:rsidR="009A6F88">
        <w:rPr>
          <w:sz w:val="22"/>
        </w:rPr>
        <w:t>-</w:t>
      </w:r>
      <w:r w:rsidRPr="005069A2">
        <w:rPr>
          <w:sz w:val="22"/>
        </w:rPr>
        <w:t>market outcomes of individuals who hold them, and insights into successful career pathways into the workforce. The network is working with the Clearinghouse to match data from certification bodies, educational attainment and enrollment data from universities, and aggregate wage data from the Census Bureau.</w:t>
      </w:r>
    </w:p>
    <w:p w14:paraId="514393BA" w14:textId="7D735000" w:rsidR="008E2B06" w:rsidRPr="00117215" w:rsidRDefault="008E2B06" w:rsidP="008E2B06">
      <w:pPr>
        <w:pStyle w:val="BodyText"/>
        <w:tabs>
          <w:tab w:val="left" w:pos="720"/>
        </w:tabs>
        <w:spacing w:after="160" w:line="259" w:lineRule="auto"/>
        <w:rPr>
          <w:b/>
          <w:color w:val="0070C0"/>
          <w:sz w:val="22"/>
        </w:rPr>
      </w:pPr>
      <w:r w:rsidRPr="00117215">
        <w:rPr>
          <w:b/>
          <w:color w:val="0070C0"/>
          <w:sz w:val="22"/>
        </w:rPr>
        <w:t>Q:</w:t>
      </w:r>
      <w:r w:rsidRPr="00117215">
        <w:rPr>
          <w:b/>
          <w:color w:val="0070C0"/>
          <w:sz w:val="22"/>
        </w:rPr>
        <w:tab/>
        <w:t xml:space="preserve">What is the </w:t>
      </w:r>
      <w:r>
        <w:rPr>
          <w:b/>
          <w:color w:val="0070C0"/>
          <w:sz w:val="22"/>
        </w:rPr>
        <w:t xml:space="preserve">problem that this initiative is trying to solve? </w:t>
      </w:r>
    </w:p>
    <w:p w14:paraId="34ED939D" w14:textId="3813C303" w:rsidR="00F75FC0" w:rsidRPr="00F75FC0" w:rsidRDefault="008E2B06" w:rsidP="00F75FC0">
      <w:pPr>
        <w:pStyle w:val="BodyText"/>
        <w:tabs>
          <w:tab w:val="left" w:pos="720"/>
        </w:tabs>
        <w:spacing w:after="160" w:line="259" w:lineRule="auto"/>
        <w:ind w:left="720" w:right="315" w:hanging="720"/>
        <w:rPr>
          <w:sz w:val="22"/>
        </w:rPr>
      </w:pPr>
      <w:r w:rsidRPr="00C8412E">
        <w:rPr>
          <w:sz w:val="22"/>
        </w:rPr>
        <w:t>A:</w:t>
      </w:r>
      <w:r w:rsidRPr="00C8412E">
        <w:rPr>
          <w:sz w:val="22"/>
        </w:rPr>
        <w:tab/>
      </w:r>
      <w:r w:rsidRPr="008E2B06">
        <w:rPr>
          <w:sz w:val="22"/>
        </w:rPr>
        <w:t xml:space="preserve">There is no complete, centralized source of data on the outcomes or impact of certifications. While there have been isolated efforts to collect this data by states, as well as self-reported data from certification bodies, outcomes data are fragmented and incomplete. </w:t>
      </w:r>
      <w:r w:rsidR="00F75FC0">
        <w:rPr>
          <w:sz w:val="22"/>
        </w:rPr>
        <w:t>If this information was available, we could</w:t>
      </w:r>
      <w:r w:rsidR="00F75FC0" w:rsidRPr="00F75FC0">
        <w:rPr>
          <w:sz w:val="22"/>
        </w:rPr>
        <w:t xml:space="preserve"> understand successful student pathways between education and the workforc</w:t>
      </w:r>
      <w:r w:rsidR="00F75FC0">
        <w:rPr>
          <w:sz w:val="22"/>
        </w:rPr>
        <w:t>e</w:t>
      </w:r>
      <w:r w:rsidR="00F75FC0" w:rsidRPr="00F75FC0">
        <w:rPr>
          <w:sz w:val="22"/>
        </w:rPr>
        <w:t>.</w:t>
      </w:r>
    </w:p>
    <w:p w14:paraId="27DEFAF7" w14:textId="0FCAE134" w:rsidR="003D68A6" w:rsidRPr="00117215" w:rsidRDefault="003D68A6" w:rsidP="008E2B06">
      <w:pPr>
        <w:pStyle w:val="BodyText"/>
        <w:tabs>
          <w:tab w:val="left" w:pos="720"/>
        </w:tabs>
        <w:spacing w:after="160" w:line="259" w:lineRule="auto"/>
        <w:ind w:left="720" w:right="315" w:hanging="720"/>
        <w:rPr>
          <w:b/>
          <w:color w:val="0070C0"/>
          <w:sz w:val="22"/>
        </w:rPr>
      </w:pPr>
      <w:r w:rsidRPr="00117215">
        <w:rPr>
          <w:b/>
          <w:color w:val="0070C0"/>
          <w:sz w:val="22"/>
        </w:rPr>
        <w:t>Q:</w:t>
      </w:r>
      <w:r w:rsidRPr="00117215">
        <w:rPr>
          <w:b/>
          <w:color w:val="0070C0"/>
          <w:sz w:val="22"/>
        </w:rPr>
        <w:tab/>
        <w:t>Wh</w:t>
      </w:r>
      <w:r w:rsidR="000D49FA">
        <w:rPr>
          <w:b/>
          <w:color w:val="0070C0"/>
          <w:sz w:val="22"/>
        </w:rPr>
        <w:t>at</w:t>
      </w:r>
      <w:r w:rsidRPr="00117215">
        <w:rPr>
          <w:b/>
          <w:color w:val="0070C0"/>
          <w:sz w:val="22"/>
        </w:rPr>
        <w:t xml:space="preserve"> is the National Student Clearinghouse and why did the organization get involved in this initiative?</w:t>
      </w:r>
    </w:p>
    <w:p w14:paraId="304EAA1A" w14:textId="60C28801" w:rsidR="003D68A6" w:rsidRDefault="003D68A6" w:rsidP="003D68A6">
      <w:pPr>
        <w:pStyle w:val="BodyText"/>
        <w:tabs>
          <w:tab w:val="left" w:pos="720"/>
        </w:tabs>
        <w:spacing w:after="160" w:line="259" w:lineRule="auto"/>
        <w:ind w:left="720" w:right="98" w:hanging="720"/>
        <w:rPr>
          <w:sz w:val="22"/>
        </w:rPr>
      </w:pPr>
      <w:r w:rsidRPr="00C8412E">
        <w:rPr>
          <w:sz w:val="22"/>
        </w:rPr>
        <w:t>A:</w:t>
      </w:r>
      <w:r w:rsidRPr="00C8412E">
        <w:rPr>
          <w:sz w:val="22"/>
        </w:rPr>
        <w:tab/>
        <w:t>Founded in 1993 by the higher education community, the Clearinghouse</w:t>
      </w:r>
      <w:r w:rsidRPr="00C8412E">
        <w:rPr>
          <w:spacing w:val="-21"/>
          <w:sz w:val="22"/>
        </w:rPr>
        <w:t xml:space="preserve"> </w:t>
      </w:r>
      <w:r w:rsidRPr="00C8412E">
        <w:rPr>
          <w:sz w:val="22"/>
        </w:rPr>
        <w:t>relieves</w:t>
      </w:r>
      <w:r w:rsidRPr="00C8412E">
        <w:rPr>
          <w:spacing w:val="-2"/>
          <w:sz w:val="22"/>
        </w:rPr>
        <w:t xml:space="preserve"> </w:t>
      </w:r>
      <w:r w:rsidRPr="00C8412E">
        <w:rPr>
          <w:sz w:val="22"/>
        </w:rPr>
        <w:t xml:space="preserve">the administrative burden and costs related to student data reporting and exchange. </w:t>
      </w:r>
      <w:r>
        <w:rPr>
          <w:sz w:val="22"/>
        </w:rPr>
        <w:t xml:space="preserve">The Clearinghouse is </w:t>
      </w:r>
      <w:r w:rsidRPr="00C8412E">
        <w:rPr>
          <w:sz w:val="22"/>
        </w:rPr>
        <w:t>a non</w:t>
      </w:r>
      <w:r w:rsidR="009A6F88">
        <w:rPr>
          <w:sz w:val="22"/>
        </w:rPr>
        <w:t>-</w:t>
      </w:r>
      <w:r w:rsidRPr="00C8412E">
        <w:rPr>
          <w:sz w:val="22"/>
        </w:rPr>
        <w:t xml:space="preserve">profit and leading provider of educational reporting, data exchange, verification, and research services. Education leaders rely on the Clearinghouse’s unique national student data resources to better understand student pathways and outcomes in order to help students succeed. </w:t>
      </w:r>
    </w:p>
    <w:p w14:paraId="54E06F27" w14:textId="32076536" w:rsidR="003D68A6" w:rsidRPr="00C8412E" w:rsidRDefault="003D68A6" w:rsidP="003D68A6">
      <w:pPr>
        <w:pStyle w:val="BodyText"/>
        <w:tabs>
          <w:tab w:val="left" w:pos="720"/>
        </w:tabs>
        <w:spacing w:after="160" w:line="259" w:lineRule="auto"/>
        <w:ind w:left="720" w:right="98" w:hanging="720"/>
        <w:rPr>
          <w:sz w:val="22"/>
        </w:rPr>
      </w:pPr>
      <w:r>
        <w:rPr>
          <w:sz w:val="22"/>
        </w:rPr>
        <w:lastRenderedPageBreak/>
        <w:tab/>
      </w:r>
      <w:r w:rsidRPr="00C8412E">
        <w:rPr>
          <w:sz w:val="22"/>
        </w:rPr>
        <w:t xml:space="preserve">This initiative allows the Clearinghouse to add industry recognized credentials to its national student data resources to expand </w:t>
      </w:r>
      <w:r w:rsidRPr="00C8412E">
        <w:rPr>
          <w:spacing w:val="-2"/>
          <w:sz w:val="22"/>
        </w:rPr>
        <w:t xml:space="preserve">the </w:t>
      </w:r>
      <w:r w:rsidRPr="00C8412E">
        <w:rPr>
          <w:sz w:val="22"/>
        </w:rPr>
        <w:t xml:space="preserve">understanding of successful </w:t>
      </w:r>
      <w:r>
        <w:rPr>
          <w:sz w:val="22"/>
        </w:rPr>
        <w:t xml:space="preserve">career and credential </w:t>
      </w:r>
      <w:r w:rsidRPr="00C8412E">
        <w:rPr>
          <w:sz w:val="22"/>
        </w:rPr>
        <w:t xml:space="preserve">pathways and outcomes from education to workforce. This expanded reporting will inform education leaders, policy makers, credentialing bodies, accreditors, and eventually, parents, and students about the variety of pathways that lead to </w:t>
      </w:r>
      <w:r>
        <w:rPr>
          <w:sz w:val="22"/>
        </w:rPr>
        <w:t xml:space="preserve">an </w:t>
      </w:r>
      <w:r w:rsidRPr="009A6F88">
        <w:rPr>
          <w:rFonts w:asciiTheme="minorHAnsi" w:hAnsiTheme="minorHAnsi" w:cstheme="minorHAnsi"/>
          <w:sz w:val="22"/>
        </w:rPr>
        <w:t>individual’s</w:t>
      </w:r>
      <w:r w:rsidR="009A6F88">
        <w:rPr>
          <w:rFonts w:asciiTheme="minorHAnsi" w:hAnsiTheme="minorHAnsi" w:cstheme="minorHAnsi"/>
          <w:sz w:val="22"/>
        </w:rPr>
        <w:t xml:space="preserve"> success</w:t>
      </w:r>
      <w:r w:rsidRPr="009A6F88">
        <w:rPr>
          <w:rFonts w:asciiTheme="minorHAnsi" w:hAnsiTheme="minorHAnsi" w:cstheme="minorHAnsi"/>
          <w:sz w:val="22"/>
        </w:rPr>
        <w:t>.</w:t>
      </w:r>
    </w:p>
    <w:p w14:paraId="75A4AC4F" w14:textId="7C9DA91D" w:rsidR="005069A2" w:rsidRPr="00117215" w:rsidRDefault="005069A2" w:rsidP="005069A2">
      <w:pPr>
        <w:pStyle w:val="BodyText"/>
        <w:tabs>
          <w:tab w:val="left" w:pos="720"/>
        </w:tabs>
        <w:spacing w:after="160" w:line="259" w:lineRule="auto"/>
        <w:rPr>
          <w:b/>
          <w:color w:val="0070C0"/>
          <w:sz w:val="22"/>
        </w:rPr>
      </w:pPr>
      <w:r w:rsidRPr="00117215">
        <w:rPr>
          <w:b/>
          <w:color w:val="0070C0"/>
          <w:sz w:val="22"/>
        </w:rPr>
        <w:t>Q:</w:t>
      </w:r>
      <w:r w:rsidRPr="00117215">
        <w:rPr>
          <w:b/>
          <w:color w:val="0070C0"/>
          <w:sz w:val="22"/>
        </w:rPr>
        <w:tab/>
      </w:r>
      <w:r>
        <w:rPr>
          <w:b/>
          <w:color w:val="0070C0"/>
          <w:sz w:val="22"/>
        </w:rPr>
        <w:t>Wh</w:t>
      </w:r>
      <w:r w:rsidR="000D49FA">
        <w:rPr>
          <w:b/>
          <w:color w:val="0070C0"/>
          <w:sz w:val="22"/>
        </w:rPr>
        <w:t>at</w:t>
      </w:r>
      <w:r>
        <w:rPr>
          <w:b/>
          <w:color w:val="0070C0"/>
          <w:sz w:val="22"/>
        </w:rPr>
        <w:t xml:space="preserve"> is Workcred and why did the organization get involved with this work?</w:t>
      </w:r>
    </w:p>
    <w:p w14:paraId="7009375D" w14:textId="77777777" w:rsidR="005069A2" w:rsidRDefault="005069A2" w:rsidP="005069A2">
      <w:pPr>
        <w:pStyle w:val="BodyText"/>
        <w:tabs>
          <w:tab w:val="left" w:pos="720"/>
        </w:tabs>
        <w:spacing w:after="160" w:line="259" w:lineRule="auto"/>
        <w:ind w:left="720" w:right="315"/>
        <w:rPr>
          <w:sz w:val="22"/>
        </w:rPr>
      </w:pPr>
      <w:r>
        <w:rPr>
          <w:sz w:val="22"/>
        </w:rPr>
        <w:t xml:space="preserve">Founded in 2014, Workcred is a non-profit affiliate of the American National Standards Institute. Workcred focuses on the strengthening </w:t>
      </w:r>
      <w:r w:rsidRPr="005069A2">
        <w:rPr>
          <w:sz w:val="22"/>
        </w:rPr>
        <w:t xml:space="preserve">workforce quality by improving the credentialing system, ensuring its ongoing relevance, and preparing employers, workers, educators, and governments to use it effectively. </w:t>
      </w:r>
    </w:p>
    <w:p w14:paraId="663DF330" w14:textId="769A9C05" w:rsidR="005069A2" w:rsidRDefault="005069A2" w:rsidP="005069A2">
      <w:pPr>
        <w:pStyle w:val="BodyText"/>
        <w:tabs>
          <w:tab w:val="left" w:pos="720"/>
        </w:tabs>
        <w:spacing w:after="160" w:line="259" w:lineRule="auto"/>
        <w:ind w:left="720" w:right="315"/>
        <w:rPr>
          <w:sz w:val="22"/>
        </w:rPr>
      </w:pPr>
      <w:r>
        <w:rPr>
          <w:sz w:val="22"/>
        </w:rPr>
        <w:t xml:space="preserve">Workcred got involved in </w:t>
      </w:r>
      <w:r w:rsidR="00D50144">
        <w:rPr>
          <w:sz w:val="22"/>
        </w:rPr>
        <w:t>this initiative because c</w:t>
      </w:r>
      <w:r w:rsidR="00D50144" w:rsidRPr="005069A2">
        <w:rPr>
          <w:sz w:val="22"/>
        </w:rPr>
        <w:t xml:space="preserve">ertifications are </w:t>
      </w:r>
      <w:r w:rsidR="00D50144">
        <w:rPr>
          <w:sz w:val="22"/>
        </w:rPr>
        <w:t xml:space="preserve">frequently </w:t>
      </w:r>
      <w:r w:rsidR="000D49FA">
        <w:rPr>
          <w:sz w:val="22"/>
        </w:rPr>
        <w:t>mis</w:t>
      </w:r>
      <w:r w:rsidR="00D50144" w:rsidRPr="005069A2">
        <w:rPr>
          <w:sz w:val="22"/>
        </w:rPr>
        <w:t>understood by policymakers, funders of research, state officials, consumers of certifications, and education and training providers</w:t>
      </w:r>
      <w:r w:rsidR="00D50144">
        <w:rPr>
          <w:sz w:val="22"/>
        </w:rPr>
        <w:t xml:space="preserve">. One of the challenges to improving understanding is that there </w:t>
      </w:r>
      <w:r w:rsidRPr="005069A2">
        <w:rPr>
          <w:sz w:val="22"/>
        </w:rPr>
        <w:t>is no complete, centralized source of administrative data on the outcomes or impacts of certifications</w:t>
      </w:r>
      <w:r>
        <w:rPr>
          <w:sz w:val="22"/>
        </w:rPr>
        <w:t>.</w:t>
      </w:r>
      <w:r w:rsidR="00D50144">
        <w:rPr>
          <w:sz w:val="22"/>
        </w:rPr>
        <w:t xml:space="preserve"> In addition, there is a growing need to </w:t>
      </w:r>
      <w:r w:rsidRPr="005069A2">
        <w:rPr>
          <w:sz w:val="22"/>
        </w:rPr>
        <w:t xml:space="preserve">understand the role of certifications in </w:t>
      </w:r>
      <w:r w:rsidR="00D50144">
        <w:rPr>
          <w:sz w:val="22"/>
        </w:rPr>
        <w:t xml:space="preserve">career and </w:t>
      </w:r>
      <w:r w:rsidRPr="005069A2">
        <w:rPr>
          <w:sz w:val="22"/>
        </w:rPr>
        <w:t xml:space="preserve">credentialing pathways, including the impact on wages, which </w:t>
      </w:r>
      <w:r w:rsidR="00D50144">
        <w:rPr>
          <w:sz w:val="22"/>
        </w:rPr>
        <w:t xml:space="preserve">can </w:t>
      </w:r>
      <w:r w:rsidRPr="005069A2">
        <w:rPr>
          <w:sz w:val="22"/>
        </w:rPr>
        <w:t>help the certification bodies serve their clients better</w:t>
      </w:r>
      <w:r w:rsidR="00D50144">
        <w:rPr>
          <w:sz w:val="22"/>
        </w:rPr>
        <w:t>.</w:t>
      </w:r>
    </w:p>
    <w:p w14:paraId="2C3AB378" w14:textId="39C28A06" w:rsidR="003D68A6" w:rsidRPr="003D68A6" w:rsidRDefault="003D68A6" w:rsidP="003D68A6">
      <w:pPr>
        <w:spacing w:after="240"/>
        <w:rPr>
          <w:b/>
          <w:color w:val="0070C0"/>
          <w:sz w:val="28"/>
          <w:szCs w:val="28"/>
          <w:u w:val="single"/>
        </w:rPr>
      </w:pPr>
      <w:r w:rsidRPr="003D68A6">
        <w:rPr>
          <w:b/>
          <w:color w:val="0070C0"/>
          <w:sz w:val="28"/>
          <w:szCs w:val="28"/>
          <w:u w:val="single"/>
        </w:rPr>
        <w:t>B</w:t>
      </w:r>
      <w:r>
        <w:rPr>
          <w:b/>
          <w:color w:val="0070C0"/>
          <w:sz w:val="28"/>
          <w:szCs w:val="28"/>
          <w:u w:val="single"/>
        </w:rPr>
        <w:t>enefits and Value Proposition</w:t>
      </w:r>
    </w:p>
    <w:p w14:paraId="1F8CEC1F" w14:textId="77777777" w:rsidR="00F96CF1" w:rsidRPr="00117215" w:rsidRDefault="00F96CF1" w:rsidP="0002264D">
      <w:pPr>
        <w:pStyle w:val="BodyText"/>
        <w:tabs>
          <w:tab w:val="left" w:pos="720"/>
        </w:tabs>
        <w:spacing w:after="160" w:line="259" w:lineRule="auto"/>
        <w:ind w:left="720" w:hanging="720"/>
        <w:rPr>
          <w:b/>
          <w:color w:val="0070C0"/>
          <w:sz w:val="22"/>
        </w:rPr>
      </w:pPr>
      <w:r w:rsidRPr="00117215">
        <w:rPr>
          <w:b/>
          <w:color w:val="0070C0"/>
          <w:sz w:val="22"/>
        </w:rPr>
        <w:t>Q:</w:t>
      </w:r>
      <w:r w:rsidRPr="00117215">
        <w:rPr>
          <w:b/>
          <w:color w:val="0070C0"/>
          <w:sz w:val="22"/>
        </w:rPr>
        <w:tab/>
        <w:t>What are the benefits for credentialing bodies that participate in this initiative?</w:t>
      </w:r>
    </w:p>
    <w:p w14:paraId="7C4B11E3" w14:textId="1C46690B" w:rsidR="00F96CF1" w:rsidRPr="00C8412E" w:rsidRDefault="00F96CF1" w:rsidP="0002264D">
      <w:pPr>
        <w:pStyle w:val="BodyText"/>
        <w:tabs>
          <w:tab w:val="left" w:pos="720"/>
        </w:tabs>
        <w:spacing w:after="160" w:line="259" w:lineRule="auto"/>
        <w:ind w:left="720" w:right="163" w:hanging="720"/>
        <w:rPr>
          <w:sz w:val="22"/>
        </w:rPr>
      </w:pPr>
      <w:r w:rsidRPr="00C8412E">
        <w:rPr>
          <w:sz w:val="22"/>
        </w:rPr>
        <w:t>A:</w:t>
      </w:r>
      <w:r w:rsidRPr="00C8412E">
        <w:rPr>
          <w:sz w:val="22"/>
        </w:rPr>
        <w:tab/>
        <w:t xml:space="preserve">When credentialing bodies submit their </w:t>
      </w:r>
      <w:r w:rsidR="00CF681E">
        <w:rPr>
          <w:sz w:val="22"/>
        </w:rPr>
        <w:t xml:space="preserve">individual </w:t>
      </w:r>
      <w:r w:rsidRPr="00C8412E">
        <w:rPr>
          <w:sz w:val="22"/>
        </w:rPr>
        <w:t>credential attainment data</w:t>
      </w:r>
      <w:r w:rsidRPr="00C8412E">
        <w:rPr>
          <w:spacing w:val="-22"/>
          <w:sz w:val="22"/>
        </w:rPr>
        <w:t xml:space="preserve"> </w:t>
      </w:r>
      <w:r w:rsidRPr="00C8412E">
        <w:rPr>
          <w:sz w:val="22"/>
        </w:rPr>
        <w:t>to</w:t>
      </w:r>
      <w:r w:rsidRPr="00C8412E">
        <w:rPr>
          <w:spacing w:val="-3"/>
          <w:sz w:val="22"/>
        </w:rPr>
        <w:t xml:space="preserve"> </w:t>
      </w:r>
      <w:r w:rsidRPr="00C8412E">
        <w:rPr>
          <w:sz w:val="22"/>
        </w:rPr>
        <w:t>the</w:t>
      </w:r>
      <w:r w:rsidRPr="00C8412E">
        <w:rPr>
          <w:spacing w:val="1"/>
          <w:sz w:val="22"/>
        </w:rPr>
        <w:t xml:space="preserve"> </w:t>
      </w:r>
      <w:r w:rsidRPr="00C8412E">
        <w:rPr>
          <w:sz w:val="22"/>
        </w:rPr>
        <w:t>Clearinghouse, it is matched with enrollment and degree attainment data, and returned to the credentialing bodies in a student</w:t>
      </w:r>
      <w:r w:rsidR="009A6F88">
        <w:rPr>
          <w:sz w:val="22"/>
        </w:rPr>
        <w:t>-</w:t>
      </w:r>
      <w:r w:rsidRPr="00C8412E">
        <w:rPr>
          <w:sz w:val="22"/>
        </w:rPr>
        <w:t>level detail file. In addition, an aggregate</w:t>
      </w:r>
      <w:r w:rsidR="009A6F88">
        <w:rPr>
          <w:sz w:val="22"/>
        </w:rPr>
        <w:t>-</w:t>
      </w:r>
      <w:r w:rsidRPr="00C8412E">
        <w:rPr>
          <w:sz w:val="22"/>
        </w:rPr>
        <w:t>level report that provides insights into the education and credentialing pathways of certifi</w:t>
      </w:r>
      <w:r w:rsidR="00CF681E">
        <w:rPr>
          <w:sz w:val="22"/>
        </w:rPr>
        <w:t xml:space="preserve">cation holders </w:t>
      </w:r>
      <w:r w:rsidRPr="00C8412E">
        <w:rPr>
          <w:sz w:val="22"/>
        </w:rPr>
        <w:t xml:space="preserve">is created. The aggregate report provides information about the most common types of institutions where </w:t>
      </w:r>
      <w:r w:rsidR="00CF681E">
        <w:rPr>
          <w:sz w:val="22"/>
        </w:rPr>
        <w:t xml:space="preserve">certification holders </w:t>
      </w:r>
      <w:r w:rsidRPr="00C8412E">
        <w:rPr>
          <w:sz w:val="22"/>
        </w:rPr>
        <w:t xml:space="preserve">were enrolled, the most common programs of study, the highest education credentials attained, and demographic information. In </w:t>
      </w:r>
      <w:r w:rsidR="008A7EA2">
        <w:rPr>
          <w:sz w:val="22"/>
        </w:rPr>
        <w:t>addition</w:t>
      </w:r>
      <w:r w:rsidRPr="00C8412E">
        <w:rPr>
          <w:sz w:val="22"/>
        </w:rPr>
        <w:t>, aggregate labor</w:t>
      </w:r>
      <w:r w:rsidR="009A6F88">
        <w:rPr>
          <w:sz w:val="22"/>
        </w:rPr>
        <w:t>-</w:t>
      </w:r>
      <w:r w:rsidRPr="00C8412E">
        <w:rPr>
          <w:sz w:val="22"/>
        </w:rPr>
        <w:t>market outcomes from the Census Bureau</w:t>
      </w:r>
      <w:r w:rsidR="008A7EA2">
        <w:rPr>
          <w:sz w:val="22"/>
        </w:rPr>
        <w:t xml:space="preserve"> are analyzed and produced through our pilot process with the agency</w:t>
      </w:r>
      <w:r w:rsidRPr="00C8412E">
        <w:rPr>
          <w:sz w:val="22"/>
        </w:rPr>
        <w:t>.</w:t>
      </w:r>
    </w:p>
    <w:p w14:paraId="582CE525" w14:textId="36E0FB6E" w:rsidR="007B29CE" w:rsidRPr="00117215" w:rsidRDefault="007B29CE" w:rsidP="007B29CE">
      <w:pPr>
        <w:pStyle w:val="BodyText"/>
        <w:tabs>
          <w:tab w:val="left" w:pos="720"/>
        </w:tabs>
        <w:spacing w:after="160" w:line="259" w:lineRule="auto"/>
        <w:ind w:left="720" w:hanging="720"/>
        <w:rPr>
          <w:b/>
          <w:color w:val="0070C0"/>
          <w:sz w:val="22"/>
        </w:rPr>
      </w:pPr>
      <w:r w:rsidRPr="00117215">
        <w:rPr>
          <w:b/>
          <w:color w:val="0070C0"/>
          <w:sz w:val="22"/>
        </w:rPr>
        <w:t>Q:</w:t>
      </w:r>
      <w:r w:rsidRPr="00117215">
        <w:rPr>
          <w:b/>
          <w:color w:val="0070C0"/>
          <w:sz w:val="22"/>
        </w:rPr>
        <w:tab/>
        <w:t xml:space="preserve">What are the </w:t>
      </w:r>
      <w:r>
        <w:rPr>
          <w:b/>
          <w:color w:val="0070C0"/>
          <w:sz w:val="22"/>
        </w:rPr>
        <w:t xml:space="preserve">value propositions for </w:t>
      </w:r>
      <w:r w:rsidRPr="00117215">
        <w:rPr>
          <w:b/>
          <w:color w:val="0070C0"/>
          <w:sz w:val="22"/>
        </w:rPr>
        <w:t>credentialing bodies that participate in this initiative?</w:t>
      </w:r>
    </w:p>
    <w:p w14:paraId="4F5D331E" w14:textId="77777777" w:rsidR="007B29CE" w:rsidRDefault="007B29CE" w:rsidP="007B29CE">
      <w:pPr>
        <w:pStyle w:val="BodyText"/>
        <w:tabs>
          <w:tab w:val="left" w:pos="720"/>
        </w:tabs>
        <w:spacing w:after="160" w:line="259" w:lineRule="auto"/>
        <w:ind w:left="720" w:right="163" w:hanging="720"/>
        <w:rPr>
          <w:sz w:val="22"/>
        </w:rPr>
      </w:pPr>
      <w:r w:rsidRPr="00C8412E">
        <w:rPr>
          <w:sz w:val="22"/>
        </w:rPr>
        <w:t>A:</w:t>
      </w:r>
      <w:r w:rsidRPr="00C8412E">
        <w:rPr>
          <w:sz w:val="22"/>
        </w:rPr>
        <w:tab/>
      </w:r>
      <w:r>
        <w:rPr>
          <w:sz w:val="22"/>
        </w:rPr>
        <w:t>The value proposition to the certification bodies is seen in five areas:</w:t>
      </w:r>
    </w:p>
    <w:p w14:paraId="4A035909" w14:textId="2EBBBDB6" w:rsidR="007B29CE" w:rsidRPr="00DE00BF" w:rsidRDefault="007B29CE" w:rsidP="00320D78">
      <w:pPr>
        <w:pStyle w:val="BodyText"/>
        <w:numPr>
          <w:ilvl w:val="0"/>
          <w:numId w:val="1"/>
        </w:numPr>
        <w:tabs>
          <w:tab w:val="left" w:pos="720"/>
        </w:tabs>
        <w:spacing w:after="160" w:line="259" w:lineRule="auto"/>
        <w:ind w:right="163"/>
        <w:rPr>
          <w:sz w:val="22"/>
          <w:szCs w:val="22"/>
        </w:rPr>
      </w:pPr>
      <w:r w:rsidRPr="00DE00BF">
        <w:rPr>
          <w:sz w:val="22"/>
          <w:szCs w:val="22"/>
        </w:rPr>
        <w:t xml:space="preserve">Visibility </w:t>
      </w:r>
      <w:r w:rsidR="009A6F88">
        <w:rPr>
          <w:sz w:val="22"/>
          <w:szCs w:val="22"/>
        </w:rPr>
        <w:t>–</w:t>
      </w:r>
      <w:r w:rsidRPr="00DE00BF">
        <w:rPr>
          <w:sz w:val="22"/>
          <w:szCs w:val="22"/>
        </w:rPr>
        <w:t xml:space="preserve"> Bring increased awareness and visibility to the certification and the profession</w:t>
      </w:r>
    </w:p>
    <w:p w14:paraId="643B6922" w14:textId="5C356B02" w:rsidR="007B29CE" w:rsidRPr="00DE00BF" w:rsidRDefault="007B29CE" w:rsidP="00320D78">
      <w:pPr>
        <w:pStyle w:val="BodyText"/>
        <w:numPr>
          <w:ilvl w:val="0"/>
          <w:numId w:val="1"/>
        </w:numPr>
        <w:tabs>
          <w:tab w:val="left" w:pos="720"/>
        </w:tabs>
        <w:spacing w:after="160" w:line="259" w:lineRule="auto"/>
        <w:ind w:right="163"/>
        <w:rPr>
          <w:spacing w:val="1"/>
          <w:sz w:val="22"/>
          <w:szCs w:val="22"/>
        </w:rPr>
      </w:pPr>
      <w:r w:rsidRPr="00DE00BF">
        <w:rPr>
          <w:spacing w:val="1"/>
          <w:sz w:val="22"/>
          <w:szCs w:val="22"/>
        </w:rPr>
        <w:t xml:space="preserve">Credibility </w:t>
      </w:r>
      <w:r w:rsidR="009A6F88">
        <w:rPr>
          <w:spacing w:val="1"/>
          <w:sz w:val="22"/>
          <w:szCs w:val="22"/>
        </w:rPr>
        <w:t>–</w:t>
      </w:r>
      <w:r w:rsidRPr="00DE00BF">
        <w:rPr>
          <w:spacing w:val="1"/>
          <w:sz w:val="22"/>
          <w:szCs w:val="22"/>
        </w:rPr>
        <w:t xml:space="preserve"> Use third-party</w:t>
      </w:r>
      <w:r w:rsidR="009A6F88">
        <w:rPr>
          <w:spacing w:val="1"/>
          <w:sz w:val="22"/>
          <w:szCs w:val="22"/>
        </w:rPr>
        <w:t>,</w:t>
      </w:r>
      <w:r w:rsidRPr="00DE00BF">
        <w:rPr>
          <w:spacing w:val="1"/>
          <w:sz w:val="22"/>
          <w:szCs w:val="22"/>
        </w:rPr>
        <w:t xml:space="preserve"> validated data to provide evidence about the value of the certification</w:t>
      </w:r>
    </w:p>
    <w:p w14:paraId="00F39ADF" w14:textId="5E06D3BD" w:rsidR="007B29CE" w:rsidRPr="00DE00BF" w:rsidRDefault="007B29CE" w:rsidP="00320D78">
      <w:pPr>
        <w:pStyle w:val="BodyText"/>
        <w:numPr>
          <w:ilvl w:val="0"/>
          <w:numId w:val="1"/>
        </w:numPr>
        <w:tabs>
          <w:tab w:val="left" w:pos="720"/>
        </w:tabs>
        <w:spacing w:after="160" w:line="259" w:lineRule="auto"/>
        <w:ind w:right="163"/>
        <w:rPr>
          <w:spacing w:val="1"/>
          <w:sz w:val="22"/>
          <w:szCs w:val="22"/>
        </w:rPr>
      </w:pPr>
      <w:r w:rsidRPr="00DE00BF">
        <w:rPr>
          <w:spacing w:val="1"/>
          <w:sz w:val="22"/>
          <w:szCs w:val="22"/>
        </w:rPr>
        <w:t xml:space="preserve">Strategic planning </w:t>
      </w:r>
      <w:r w:rsidR="009A6F88">
        <w:rPr>
          <w:spacing w:val="1"/>
          <w:sz w:val="22"/>
          <w:szCs w:val="22"/>
        </w:rPr>
        <w:t>–</w:t>
      </w:r>
      <w:r w:rsidRPr="00DE00BF">
        <w:rPr>
          <w:spacing w:val="1"/>
          <w:sz w:val="22"/>
          <w:szCs w:val="22"/>
        </w:rPr>
        <w:t xml:space="preserve"> Use data to improve strategic planning, support decision making, gather information to inform the development of new products, and obtain a more complete picture of the certification holders</w:t>
      </w:r>
    </w:p>
    <w:p w14:paraId="4360433A" w14:textId="309BC17E" w:rsidR="00DE00BF" w:rsidRPr="00DE00BF" w:rsidRDefault="007B29CE" w:rsidP="00320D78">
      <w:pPr>
        <w:pStyle w:val="BodyText"/>
        <w:numPr>
          <w:ilvl w:val="0"/>
          <w:numId w:val="1"/>
        </w:numPr>
        <w:tabs>
          <w:tab w:val="left" w:pos="720"/>
        </w:tabs>
        <w:spacing w:after="160" w:line="259" w:lineRule="auto"/>
        <w:ind w:right="163"/>
        <w:rPr>
          <w:spacing w:val="1"/>
          <w:sz w:val="22"/>
          <w:szCs w:val="22"/>
        </w:rPr>
      </w:pPr>
      <w:r w:rsidRPr="00DE00BF">
        <w:rPr>
          <w:spacing w:val="1"/>
          <w:sz w:val="22"/>
          <w:szCs w:val="22"/>
        </w:rPr>
        <w:lastRenderedPageBreak/>
        <w:t xml:space="preserve">Marketing </w:t>
      </w:r>
      <w:r w:rsidR="009A6F88">
        <w:rPr>
          <w:spacing w:val="1"/>
          <w:sz w:val="22"/>
          <w:szCs w:val="22"/>
        </w:rPr>
        <w:t>–</w:t>
      </w:r>
      <w:r w:rsidRPr="00DE00BF">
        <w:rPr>
          <w:spacing w:val="1"/>
          <w:sz w:val="22"/>
          <w:szCs w:val="22"/>
        </w:rPr>
        <w:t xml:space="preserve"> </w:t>
      </w:r>
      <w:r w:rsidR="00DE00BF" w:rsidRPr="00DE00BF">
        <w:rPr>
          <w:spacing w:val="1"/>
          <w:sz w:val="22"/>
          <w:szCs w:val="22"/>
        </w:rPr>
        <w:t>Identify gaps in certifications earned by underserved populations; refine outreach to new and existing markets; show wages before and after earning the certification; and use data to advance the industry and/or occupation</w:t>
      </w:r>
    </w:p>
    <w:p w14:paraId="0A95490A" w14:textId="2DFE576D" w:rsidR="00DE00BF" w:rsidRPr="00DE00BF" w:rsidRDefault="007B29CE" w:rsidP="00320D78">
      <w:pPr>
        <w:pStyle w:val="BodyText"/>
        <w:numPr>
          <w:ilvl w:val="0"/>
          <w:numId w:val="1"/>
        </w:numPr>
        <w:tabs>
          <w:tab w:val="left" w:pos="720"/>
        </w:tabs>
        <w:spacing w:after="160" w:line="259" w:lineRule="auto"/>
        <w:ind w:right="163"/>
        <w:rPr>
          <w:spacing w:val="1"/>
          <w:sz w:val="22"/>
          <w:szCs w:val="22"/>
        </w:rPr>
      </w:pPr>
      <w:r w:rsidRPr="00DE00BF">
        <w:rPr>
          <w:spacing w:val="1"/>
          <w:sz w:val="22"/>
          <w:szCs w:val="22"/>
        </w:rPr>
        <w:t xml:space="preserve">Career pathways </w:t>
      </w:r>
      <w:r w:rsidR="009A6F88">
        <w:rPr>
          <w:spacing w:val="1"/>
          <w:sz w:val="22"/>
          <w:szCs w:val="22"/>
        </w:rPr>
        <w:t>–</w:t>
      </w:r>
      <w:r w:rsidRPr="00DE00BF">
        <w:rPr>
          <w:spacing w:val="1"/>
          <w:sz w:val="22"/>
          <w:szCs w:val="22"/>
        </w:rPr>
        <w:t xml:space="preserve"> </w:t>
      </w:r>
      <w:r w:rsidR="00DE00BF" w:rsidRPr="00DE00BF">
        <w:rPr>
          <w:spacing w:val="1"/>
          <w:sz w:val="22"/>
          <w:szCs w:val="22"/>
        </w:rPr>
        <w:t>Understand career pathways and earnings of certified persons; gather information on what certification holders studied, how they prepared for their career, what other certifications they hold; understand tangential careers and how to better target those audiences; and identify people interested in the occupation earlier in their education or career</w:t>
      </w:r>
    </w:p>
    <w:p w14:paraId="624B6396" w14:textId="6401E882" w:rsidR="00F96CF1" w:rsidRPr="00C8412E" w:rsidRDefault="00F96CF1" w:rsidP="00117215">
      <w:pPr>
        <w:pStyle w:val="BodyText"/>
        <w:tabs>
          <w:tab w:val="left" w:pos="720"/>
        </w:tabs>
        <w:spacing w:before="51" w:after="160" w:line="259" w:lineRule="auto"/>
        <w:ind w:left="720" w:right="155" w:hanging="720"/>
        <w:rPr>
          <w:sz w:val="22"/>
        </w:rPr>
      </w:pPr>
      <w:r w:rsidRPr="00117215">
        <w:rPr>
          <w:b/>
          <w:color w:val="0070C0"/>
          <w:sz w:val="22"/>
        </w:rPr>
        <w:t>Q:</w:t>
      </w:r>
      <w:r w:rsidRPr="00117215">
        <w:rPr>
          <w:b/>
          <w:color w:val="0070C0"/>
          <w:sz w:val="22"/>
        </w:rPr>
        <w:tab/>
        <w:t xml:space="preserve">How will industry credential attainment information help the </w:t>
      </w:r>
      <w:r w:rsidR="007B29CE">
        <w:rPr>
          <w:b/>
          <w:color w:val="0070C0"/>
          <w:sz w:val="22"/>
        </w:rPr>
        <w:t xml:space="preserve">educational </w:t>
      </w:r>
      <w:r w:rsidRPr="00117215">
        <w:rPr>
          <w:b/>
          <w:color w:val="0070C0"/>
          <w:sz w:val="22"/>
        </w:rPr>
        <w:t>institutions participating in</w:t>
      </w:r>
      <w:r w:rsidRPr="00C8412E">
        <w:rPr>
          <w:spacing w:val="-3"/>
          <w:sz w:val="22"/>
        </w:rPr>
        <w:t xml:space="preserve"> </w:t>
      </w:r>
      <w:r w:rsidRPr="00117215">
        <w:rPr>
          <w:b/>
          <w:color w:val="0070C0"/>
          <w:sz w:val="22"/>
        </w:rPr>
        <w:t>Clearinghouse</w:t>
      </w:r>
      <w:r w:rsidRPr="00117215">
        <w:rPr>
          <w:b/>
          <w:color w:val="0070C0"/>
          <w:spacing w:val="-8"/>
          <w:sz w:val="22"/>
        </w:rPr>
        <w:t xml:space="preserve"> </w:t>
      </w:r>
      <w:r w:rsidRPr="00117215">
        <w:rPr>
          <w:b/>
          <w:color w:val="0070C0"/>
          <w:sz w:val="22"/>
        </w:rPr>
        <w:t>services?</w:t>
      </w:r>
    </w:p>
    <w:p w14:paraId="01384FFB" w14:textId="70FA7707" w:rsidR="00F96CF1" w:rsidRDefault="00F96CF1" w:rsidP="00117215">
      <w:pPr>
        <w:pStyle w:val="BodyText"/>
        <w:tabs>
          <w:tab w:val="left" w:pos="720"/>
        </w:tabs>
        <w:spacing w:after="160" w:line="259" w:lineRule="auto"/>
        <w:ind w:left="720" w:right="231" w:hanging="720"/>
        <w:rPr>
          <w:sz w:val="22"/>
        </w:rPr>
      </w:pPr>
      <w:r w:rsidRPr="00C8412E">
        <w:rPr>
          <w:sz w:val="22"/>
        </w:rPr>
        <w:t>A:</w:t>
      </w:r>
      <w:r w:rsidRPr="00C8412E">
        <w:rPr>
          <w:sz w:val="22"/>
        </w:rPr>
        <w:tab/>
        <w:t>From K</w:t>
      </w:r>
      <w:r w:rsidR="000D49FA">
        <w:rPr>
          <w:sz w:val="22"/>
        </w:rPr>
        <w:t>-</w:t>
      </w:r>
      <w:r w:rsidRPr="00C8412E">
        <w:rPr>
          <w:sz w:val="22"/>
        </w:rPr>
        <w:t>12 to postsecondary education, institutions are clamoring for</w:t>
      </w:r>
      <w:r w:rsidRPr="00C8412E">
        <w:rPr>
          <w:spacing w:val="-22"/>
          <w:sz w:val="22"/>
        </w:rPr>
        <w:t xml:space="preserve"> </w:t>
      </w:r>
      <w:r w:rsidRPr="00C8412E">
        <w:rPr>
          <w:sz w:val="22"/>
        </w:rPr>
        <w:t>industry</w:t>
      </w:r>
      <w:r w:rsidRPr="00C8412E">
        <w:rPr>
          <w:spacing w:val="-3"/>
          <w:sz w:val="22"/>
        </w:rPr>
        <w:t xml:space="preserve"> </w:t>
      </w:r>
      <w:r w:rsidRPr="00C8412E">
        <w:rPr>
          <w:sz w:val="22"/>
        </w:rPr>
        <w:t>credential attainment information, particularly, when those successful outcomes can be used for metrics related to program performance and student outcomes or related to higher education performance funding formulas used by, at least, 36</w:t>
      </w:r>
      <w:r w:rsidRPr="00C8412E">
        <w:rPr>
          <w:spacing w:val="-24"/>
          <w:sz w:val="22"/>
        </w:rPr>
        <w:t xml:space="preserve"> </w:t>
      </w:r>
      <w:r w:rsidRPr="00C8412E">
        <w:rPr>
          <w:sz w:val="22"/>
        </w:rPr>
        <w:t>states.</w:t>
      </w:r>
    </w:p>
    <w:p w14:paraId="097DE905" w14:textId="75DA9080" w:rsidR="003D68A6" w:rsidRPr="003D68A6" w:rsidRDefault="003D68A6" w:rsidP="003D68A6">
      <w:pPr>
        <w:spacing w:after="240"/>
        <w:rPr>
          <w:b/>
          <w:color w:val="0070C0"/>
          <w:sz w:val="28"/>
          <w:szCs w:val="28"/>
          <w:u w:val="single"/>
        </w:rPr>
      </w:pPr>
      <w:r>
        <w:rPr>
          <w:b/>
          <w:color w:val="0070C0"/>
          <w:sz w:val="28"/>
          <w:szCs w:val="28"/>
          <w:u w:val="single"/>
        </w:rPr>
        <w:t>Privacy and Data Protection</w:t>
      </w:r>
    </w:p>
    <w:p w14:paraId="6D1E18D5" w14:textId="77777777" w:rsidR="00F96CF1" w:rsidRPr="00117215" w:rsidRDefault="00F96CF1" w:rsidP="00117215">
      <w:pPr>
        <w:pStyle w:val="BodyText"/>
        <w:tabs>
          <w:tab w:val="left" w:pos="720"/>
        </w:tabs>
        <w:spacing w:before="1" w:after="160" w:line="259" w:lineRule="auto"/>
        <w:ind w:left="139" w:hanging="139"/>
        <w:rPr>
          <w:b/>
          <w:color w:val="0070C0"/>
          <w:sz w:val="22"/>
        </w:rPr>
      </w:pPr>
      <w:r w:rsidRPr="00117215">
        <w:rPr>
          <w:b/>
          <w:color w:val="0070C0"/>
          <w:sz w:val="22"/>
        </w:rPr>
        <w:t>Q:</w:t>
      </w:r>
      <w:r w:rsidRPr="00117215">
        <w:rPr>
          <w:b/>
          <w:color w:val="0070C0"/>
          <w:sz w:val="22"/>
        </w:rPr>
        <w:tab/>
        <w:t>How does the Clearinghouse protect student</w:t>
      </w:r>
      <w:r w:rsidRPr="00117215">
        <w:rPr>
          <w:b/>
          <w:color w:val="0070C0"/>
          <w:spacing w:val="-15"/>
          <w:sz w:val="22"/>
        </w:rPr>
        <w:t xml:space="preserve"> </w:t>
      </w:r>
      <w:r w:rsidRPr="00117215">
        <w:rPr>
          <w:b/>
          <w:color w:val="0070C0"/>
          <w:sz w:val="22"/>
        </w:rPr>
        <w:t>data?</w:t>
      </w:r>
    </w:p>
    <w:p w14:paraId="36AB944C" w14:textId="63C1F5A1" w:rsidR="00F96CF1" w:rsidRPr="00C8412E" w:rsidRDefault="00F96CF1" w:rsidP="00117215">
      <w:pPr>
        <w:pStyle w:val="BodyText"/>
        <w:tabs>
          <w:tab w:val="left" w:pos="720"/>
        </w:tabs>
        <w:spacing w:after="160" w:line="259" w:lineRule="auto"/>
        <w:ind w:left="720" w:right="159" w:hanging="720"/>
        <w:rPr>
          <w:sz w:val="22"/>
        </w:rPr>
      </w:pPr>
      <w:r w:rsidRPr="00C8412E">
        <w:rPr>
          <w:sz w:val="22"/>
        </w:rPr>
        <w:t>A:</w:t>
      </w:r>
      <w:r w:rsidRPr="00C8412E">
        <w:rPr>
          <w:sz w:val="22"/>
        </w:rPr>
        <w:tab/>
        <w:t>All Clearinghouse services are designed to facilitate compliance with</w:t>
      </w:r>
      <w:r w:rsidRPr="00C8412E">
        <w:rPr>
          <w:spacing w:val="-21"/>
          <w:sz w:val="22"/>
        </w:rPr>
        <w:t xml:space="preserve"> </w:t>
      </w:r>
      <w:r w:rsidRPr="00C8412E">
        <w:rPr>
          <w:sz w:val="22"/>
        </w:rPr>
        <w:t>the</w:t>
      </w:r>
      <w:r w:rsidRPr="00C8412E">
        <w:rPr>
          <w:spacing w:val="-4"/>
          <w:sz w:val="22"/>
        </w:rPr>
        <w:t xml:space="preserve"> </w:t>
      </w:r>
      <w:r w:rsidRPr="00C8412E">
        <w:rPr>
          <w:sz w:val="22"/>
        </w:rPr>
        <w:t xml:space="preserve">Family Educational Rights and Privacy Act (FERPA), the Higher Education Act, and other applicable laws. The Clearinghouse is a signatory to the </w:t>
      </w:r>
      <w:hyperlink r:id="rId7">
        <w:r w:rsidRPr="00CF681E">
          <w:rPr>
            <w:color w:val="0070C0"/>
            <w:sz w:val="22"/>
            <w:u w:val="single"/>
          </w:rPr>
          <w:t>Student Privacy Pledge</w:t>
        </w:r>
      </w:hyperlink>
      <w:r w:rsidRPr="00C8412E">
        <w:rPr>
          <w:sz w:val="22"/>
        </w:rPr>
        <w:t xml:space="preserve">, </w:t>
      </w:r>
      <w:r w:rsidRPr="00C8412E">
        <w:rPr>
          <w:spacing w:val="-3"/>
          <w:sz w:val="22"/>
        </w:rPr>
        <w:t xml:space="preserve">an </w:t>
      </w:r>
      <w:r w:rsidRPr="00C8412E">
        <w:rPr>
          <w:sz w:val="22"/>
        </w:rPr>
        <w:t xml:space="preserve">official supporter of </w:t>
      </w:r>
      <w:hyperlink r:id="rId8">
        <w:r w:rsidRPr="00CF681E">
          <w:rPr>
            <w:color w:val="0070C0"/>
            <w:sz w:val="22"/>
            <w:u w:val="single"/>
          </w:rPr>
          <w:t>Student Data Principles</w:t>
        </w:r>
      </w:hyperlink>
      <w:r w:rsidRPr="00C8412E">
        <w:rPr>
          <w:sz w:val="22"/>
        </w:rPr>
        <w:t xml:space="preserve">, meets the requirements of a </w:t>
      </w:r>
      <w:hyperlink r:id="rId9" w:history="1">
        <w:r w:rsidR="00CE363B" w:rsidRPr="00CE363B">
          <w:rPr>
            <w:rStyle w:val="Hyperlink"/>
            <w:sz w:val="22"/>
          </w:rPr>
          <w:t>trusted commerce vendor</w:t>
        </w:r>
      </w:hyperlink>
      <w:r w:rsidR="00CE363B">
        <w:rPr>
          <w:sz w:val="22"/>
        </w:rPr>
        <w:t xml:space="preserve"> </w:t>
      </w:r>
      <w:r w:rsidRPr="00C8412E">
        <w:rPr>
          <w:sz w:val="22"/>
        </w:rPr>
        <w:t>for verification transactions, and complies with AICPA’s Trust Services Principles through its SOC 2 report. Further information about the Clearinghouse’s privacy commitment is available</w:t>
      </w:r>
      <w:r w:rsidRPr="00C8412E">
        <w:rPr>
          <w:spacing w:val="-7"/>
          <w:sz w:val="22"/>
        </w:rPr>
        <w:t xml:space="preserve"> </w:t>
      </w:r>
      <w:hyperlink r:id="rId10">
        <w:r w:rsidRPr="00CF681E">
          <w:rPr>
            <w:color w:val="0070C0"/>
            <w:sz w:val="22"/>
            <w:u w:val="single"/>
          </w:rPr>
          <w:t>here</w:t>
        </w:r>
      </w:hyperlink>
      <w:r w:rsidRPr="00C8412E">
        <w:rPr>
          <w:sz w:val="22"/>
        </w:rPr>
        <w:t>.</w:t>
      </w:r>
    </w:p>
    <w:p w14:paraId="0F6E7C0A" w14:textId="77777777" w:rsidR="00F96CF1" w:rsidRPr="00C8412E" w:rsidRDefault="00F96CF1" w:rsidP="00117215">
      <w:pPr>
        <w:pStyle w:val="BodyText"/>
        <w:spacing w:before="52" w:after="160" w:line="259" w:lineRule="auto"/>
        <w:ind w:left="720" w:right="158"/>
        <w:rPr>
          <w:sz w:val="22"/>
        </w:rPr>
      </w:pPr>
      <w:r w:rsidRPr="00C8412E">
        <w:rPr>
          <w:sz w:val="22"/>
        </w:rPr>
        <w:t xml:space="preserve">The Clearinghouse has a Chief Information Security Officer (CISO) and a well-established internal program focused on information security and data privacy. Credentialing bodies are welcome to request an onsite audit of the information security and data privacy program with the CISO. Email </w:t>
      </w:r>
      <w:hyperlink r:id="rId11">
        <w:r w:rsidRPr="00CF681E">
          <w:rPr>
            <w:color w:val="0070C0"/>
            <w:sz w:val="22"/>
            <w:u w:val="single"/>
          </w:rPr>
          <w:t>industrycredentials@studentclearinghouse.org</w:t>
        </w:r>
        <w:r w:rsidRPr="00C8412E">
          <w:rPr>
            <w:sz w:val="22"/>
            <w:u w:val="single"/>
          </w:rPr>
          <w:t xml:space="preserve"> </w:t>
        </w:r>
      </w:hyperlink>
      <w:r w:rsidRPr="00C8412E">
        <w:rPr>
          <w:sz w:val="22"/>
        </w:rPr>
        <w:t>to arrange that meeting.</w:t>
      </w:r>
    </w:p>
    <w:p w14:paraId="418C3F03" w14:textId="77777777" w:rsidR="00F96CF1" w:rsidRPr="00117215" w:rsidRDefault="00F96CF1" w:rsidP="0002264D">
      <w:pPr>
        <w:pStyle w:val="BodyText"/>
        <w:tabs>
          <w:tab w:val="left" w:pos="720"/>
        </w:tabs>
        <w:spacing w:after="160" w:line="259" w:lineRule="auto"/>
        <w:ind w:left="720" w:hanging="720"/>
        <w:rPr>
          <w:b/>
          <w:color w:val="0070C0"/>
          <w:sz w:val="22"/>
        </w:rPr>
      </w:pPr>
      <w:r w:rsidRPr="00117215">
        <w:rPr>
          <w:b/>
          <w:color w:val="0070C0"/>
          <w:sz w:val="22"/>
        </w:rPr>
        <w:t>Q:</w:t>
      </w:r>
      <w:r w:rsidRPr="00117215">
        <w:rPr>
          <w:b/>
          <w:color w:val="0070C0"/>
          <w:sz w:val="22"/>
        </w:rPr>
        <w:tab/>
        <w:t>What other protections are offered to students around data</w:t>
      </w:r>
      <w:r w:rsidRPr="00117215">
        <w:rPr>
          <w:b/>
          <w:color w:val="0070C0"/>
          <w:spacing w:val="-20"/>
          <w:sz w:val="22"/>
        </w:rPr>
        <w:t xml:space="preserve"> </w:t>
      </w:r>
      <w:r w:rsidRPr="00117215">
        <w:rPr>
          <w:b/>
          <w:color w:val="0070C0"/>
          <w:sz w:val="22"/>
        </w:rPr>
        <w:t>privacy?</w:t>
      </w:r>
    </w:p>
    <w:p w14:paraId="3C5A2C2F" w14:textId="26606EE7" w:rsidR="00F96CF1" w:rsidRDefault="00F96CF1" w:rsidP="0002264D">
      <w:pPr>
        <w:pStyle w:val="BodyText"/>
        <w:tabs>
          <w:tab w:val="left" w:pos="720"/>
        </w:tabs>
        <w:spacing w:after="160" w:line="259" w:lineRule="auto"/>
        <w:ind w:left="720" w:right="187" w:hanging="720"/>
        <w:rPr>
          <w:sz w:val="22"/>
        </w:rPr>
      </w:pPr>
      <w:r w:rsidRPr="00C8412E">
        <w:rPr>
          <w:sz w:val="22"/>
        </w:rPr>
        <w:t>A:</w:t>
      </w:r>
      <w:r w:rsidRPr="00C8412E">
        <w:rPr>
          <w:sz w:val="22"/>
        </w:rPr>
        <w:tab/>
        <w:t>Under FERPA, students can request to block their records, which institutions</w:t>
      </w:r>
      <w:r w:rsidRPr="00C8412E">
        <w:rPr>
          <w:spacing w:val="-28"/>
          <w:sz w:val="22"/>
        </w:rPr>
        <w:t xml:space="preserve"> </w:t>
      </w:r>
      <w:r w:rsidRPr="00C8412E">
        <w:rPr>
          <w:sz w:val="22"/>
        </w:rPr>
        <w:t>report</w:t>
      </w:r>
      <w:r w:rsidRPr="00C8412E">
        <w:rPr>
          <w:spacing w:val="-3"/>
          <w:sz w:val="22"/>
        </w:rPr>
        <w:t xml:space="preserve"> </w:t>
      </w:r>
      <w:r w:rsidRPr="00C8412E">
        <w:rPr>
          <w:sz w:val="22"/>
        </w:rPr>
        <w:t>to</w:t>
      </w:r>
      <w:r w:rsidRPr="00C8412E">
        <w:rPr>
          <w:spacing w:val="-2"/>
          <w:sz w:val="22"/>
        </w:rPr>
        <w:t xml:space="preserve"> </w:t>
      </w:r>
      <w:r w:rsidRPr="00C8412E">
        <w:rPr>
          <w:sz w:val="22"/>
        </w:rPr>
        <w:t>the Clearinghouse, and that information will not be shared in student level detail reports. Credentialing bodies can also block any individual</w:t>
      </w:r>
      <w:r w:rsidR="009A6F88">
        <w:rPr>
          <w:sz w:val="22"/>
        </w:rPr>
        <w:t>-</w:t>
      </w:r>
      <w:r w:rsidRPr="00C8412E">
        <w:rPr>
          <w:sz w:val="22"/>
        </w:rPr>
        <w:t>level data submitted to the Clearinghouse through a flag and that individual</w:t>
      </w:r>
      <w:r w:rsidR="009A6F88">
        <w:rPr>
          <w:sz w:val="22"/>
        </w:rPr>
        <w:t>-</w:t>
      </w:r>
      <w:r w:rsidRPr="00C8412E">
        <w:rPr>
          <w:sz w:val="22"/>
        </w:rPr>
        <w:t>level credential attainment information will not be shared in reporting going back to institutions or other education stakeholders.</w:t>
      </w:r>
    </w:p>
    <w:p w14:paraId="3138FBBE" w14:textId="77777777" w:rsidR="001514B3" w:rsidRPr="003D68A6" w:rsidRDefault="001514B3" w:rsidP="001514B3">
      <w:pPr>
        <w:spacing w:after="240"/>
        <w:rPr>
          <w:b/>
          <w:color w:val="0070C0"/>
          <w:sz w:val="28"/>
          <w:szCs w:val="28"/>
          <w:u w:val="single"/>
        </w:rPr>
      </w:pPr>
      <w:r>
        <w:rPr>
          <w:b/>
          <w:color w:val="0070C0"/>
          <w:sz w:val="28"/>
          <w:szCs w:val="28"/>
          <w:u w:val="single"/>
        </w:rPr>
        <w:t>Data Requirements and Outcomes</w:t>
      </w:r>
    </w:p>
    <w:p w14:paraId="721E67B6" w14:textId="77777777" w:rsidR="001514B3" w:rsidRPr="0002264D" w:rsidRDefault="001514B3" w:rsidP="001514B3">
      <w:pPr>
        <w:pStyle w:val="BodyText"/>
        <w:tabs>
          <w:tab w:val="left" w:pos="720"/>
        </w:tabs>
        <w:spacing w:before="52" w:after="160" w:line="259" w:lineRule="auto"/>
        <w:ind w:left="720" w:right="878" w:hanging="720"/>
        <w:rPr>
          <w:b/>
          <w:color w:val="0070C0"/>
          <w:sz w:val="22"/>
        </w:rPr>
      </w:pPr>
      <w:r w:rsidRPr="0002264D">
        <w:rPr>
          <w:b/>
          <w:color w:val="0070C0"/>
          <w:sz w:val="22"/>
        </w:rPr>
        <w:t>Q:</w:t>
      </w:r>
      <w:r w:rsidRPr="0002264D">
        <w:rPr>
          <w:b/>
          <w:color w:val="0070C0"/>
          <w:sz w:val="22"/>
        </w:rPr>
        <w:tab/>
        <w:t xml:space="preserve">What data about </w:t>
      </w:r>
      <w:r>
        <w:rPr>
          <w:b/>
          <w:color w:val="0070C0"/>
          <w:sz w:val="22"/>
        </w:rPr>
        <w:t>certification holders</w:t>
      </w:r>
      <w:r w:rsidRPr="0002264D">
        <w:rPr>
          <w:b/>
          <w:color w:val="0070C0"/>
          <w:sz w:val="22"/>
        </w:rPr>
        <w:t xml:space="preserve"> is required to participate in the</w:t>
      </w:r>
      <w:r w:rsidRPr="0002264D">
        <w:rPr>
          <w:b/>
          <w:color w:val="0070C0"/>
          <w:spacing w:val="-17"/>
          <w:sz w:val="22"/>
        </w:rPr>
        <w:t xml:space="preserve"> </w:t>
      </w:r>
      <w:r w:rsidRPr="0002264D">
        <w:rPr>
          <w:b/>
          <w:color w:val="0070C0"/>
          <w:sz w:val="22"/>
        </w:rPr>
        <w:t>Industry</w:t>
      </w:r>
      <w:r w:rsidRPr="0002264D">
        <w:rPr>
          <w:b/>
          <w:color w:val="0070C0"/>
          <w:spacing w:val="-2"/>
          <w:sz w:val="22"/>
        </w:rPr>
        <w:t xml:space="preserve"> </w:t>
      </w:r>
      <w:r w:rsidRPr="0002264D">
        <w:rPr>
          <w:b/>
          <w:color w:val="0070C0"/>
          <w:sz w:val="22"/>
        </w:rPr>
        <w:t>Credentials initiative?</w:t>
      </w:r>
    </w:p>
    <w:p w14:paraId="137D9A18" w14:textId="77777777" w:rsidR="001514B3" w:rsidRDefault="001514B3" w:rsidP="001514B3">
      <w:pPr>
        <w:pStyle w:val="BodyText"/>
        <w:tabs>
          <w:tab w:val="left" w:pos="720"/>
        </w:tabs>
        <w:spacing w:after="160" w:line="259" w:lineRule="auto"/>
        <w:ind w:left="720" w:right="158" w:hanging="720"/>
        <w:rPr>
          <w:sz w:val="22"/>
        </w:rPr>
      </w:pPr>
      <w:r w:rsidRPr="00C8412E">
        <w:rPr>
          <w:sz w:val="22"/>
        </w:rPr>
        <w:t>A:</w:t>
      </w:r>
      <w:r w:rsidRPr="00C8412E">
        <w:rPr>
          <w:sz w:val="22"/>
        </w:rPr>
        <w:tab/>
      </w:r>
      <w:r>
        <w:rPr>
          <w:sz w:val="22"/>
        </w:rPr>
        <w:t xml:space="preserve">Credentialing bodies must collect the following minimum data to participate: first name, last name, credential name, credential type, credential purpose, credential award data, and </w:t>
      </w:r>
      <w:r>
        <w:rPr>
          <w:sz w:val="22"/>
        </w:rPr>
        <w:lastRenderedPageBreak/>
        <w:t xml:space="preserve">credential expiration date. To improve the data matching process, it is helpful if credentialing bodies collect data of birth. For credentialing bodies to receive more insights, it is encouraged to collect data on race/ethnicity, gender, and military status. </w:t>
      </w:r>
    </w:p>
    <w:p w14:paraId="548D50A0" w14:textId="16A25588" w:rsidR="001514B3" w:rsidRPr="00C8412E" w:rsidRDefault="001514B3" w:rsidP="001514B3">
      <w:pPr>
        <w:pStyle w:val="BodyText"/>
        <w:tabs>
          <w:tab w:val="left" w:pos="720"/>
        </w:tabs>
        <w:spacing w:after="160" w:line="259" w:lineRule="auto"/>
        <w:ind w:left="720" w:right="163" w:hanging="720"/>
        <w:rPr>
          <w:sz w:val="22"/>
        </w:rPr>
      </w:pPr>
      <w:r>
        <w:rPr>
          <w:sz w:val="22"/>
        </w:rPr>
        <w:tab/>
      </w:r>
      <w:r w:rsidRPr="00C8412E">
        <w:rPr>
          <w:sz w:val="22"/>
        </w:rPr>
        <w:t>The industry credential data specifications are outlined in the implementation</w:t>
      </w:r>
      <w:r w:rsidRPr="00C8412E">
        <w:rPr>
          <w:spacing w:val="-25"/>
          <w:sz w:val="22"/>
        </w:rPr>
        <w:t xml:space="preserve"> </w:t>
      </w:r>
      <w:hyperlink r:id="rId12">
        <w:r w:rsidRPr="0002264D">
          <w:rPr>
            <w:color w:val="0070C0"/>
            <w:sz w:val="22"/>
            <w:u w:val="single"/>
          </w:rPr>
          <w:t>guide</w:t>
        </w:r>
        <w:r w:rsidR="009A6F88" w:rsidRPr="009A6F88">
          <w:rPr>
            <w:sz w:val="22"/>
          </w:rPr>
          <w:t>;</w:t>
        </w:r>
        <w:r w:rsidRPr="009A6F88">
          <w:rPr>
            <w:spacing w:val="-5"/>
            <w:sz w:val="22"/>
          </w:rPr>
          <w:t xml:space="preserve"> </w:t>
        </w:r>
      </w:hyperlink>
      <w:r w:rsidRPr="00C8412E">
        <w:rPr>
          <w:sz w:val="22"/>
        </w:rPr>
        <w:t xml:space="preserve">there is a sample file formatted to that specification titled “Data Fields with Examples” in the </w:t>
      </w:r>
      <w:r w:rsidR="009A6F88">
        <w:rPr>
          <w:sz w:val="22"/>
        </w:rPr>
        <w:t>r</w:t>
      </w:r>
      <w:r w:rsidRPr="00C8412E">
        <w:rPr>
          <w:sz w:val="22"/>
        </w:rPr>
        <w:t xml:space="preserve">esources section of the </w:t>
      </w:r>
      <w:hyperlink r:id="rId13">
        <w:r w:rsidRPr="0002264D">
          <w:rPr>
            <w:color w:val="0070C0"/>
            <w:sz w:val="22"/>
            <w:u w:val="single"/>
          </w:rPr>
          <w:t>industry credential service overview</w:t>
        </w:r>
        <w:r w:rsidRPr="0002264D">
          <w:rPr>
            <w:sz w:val="22"/>
          </w:rPr>
          <w:t xml:space="preserve"> </w:t>
        </w:r>
      </w:hyperlink>
      <w:r w:rsidRPr="00C8412E">
        <w:rPr>
          <w:sz w:val="22"/>
        </w:rPr>
        <w:t>on the Clearinghouse</w:t>
      </w:r>
      <w:r w:rsidRPr="00C8412E">
        <w:rPr>
          <w:spacing w:val="-4"/>
          <w:sz w:val="22"/>
        </w:rPr>
        <w:t xml:space="preserve"> </w:t>
      </w:r>
      <w:r w:rsidRPr="00C8412E">
        <w:rPr>
          <w:sz w:val="22"/>
        </w:rPr>
        <w:t>website.</w:t>
      </w:r>
    </w:p>
    <w:p w14:paraId="4C5AF605" w14:textId="77777777" w:rsidR="001514B3" w:rsidRPr="0002264D" w:rsidRDefault="001514B3" w:rsidP="001514B3">
      <w:pPr>
        <w:pStyle w:val="BodyText"/>
        <w:tabs>
          <w:tab w:val="left" w:pos="720"/>
        </w:tabs>
        <w:spacing w:before="52" w:after="160" w:line="259" w:lineRule="auto"/>
        <w:ind w:left="720" w:right="878" w:hanging="720"/>
        <w:rPr>
          <w:b/>
          <w:color w:val="0070C0"/>
          <w:sz w:val="22"/>
        </w:rPr>
      </w:pPr>
      <w:r w:rsidRPr="0002264D">
        <w:rPr>
          <w:b/>
          <w:color w:val="0070C0"/>
          <w:sz w:val="22"/>
        </w:rPr>
        <w:t>Q:</w:t>
      </w:r>
      <w:r w:rsidRPr="0002264D">
        <w:rPr>
          <w:b/>
          <w:color w:val="0070C0"/>
          <w:sz w:val="22"/>
        </w:rPr>
        <w:tab/>
      </w:r>
      <w:r>
        <w:rPr>
          <w:b/>
          <w:color w:val="0070C0"/>
          <w:sz w:val="22"/>
        </w:rPr>
        <w:t>Are there other data fields that if provided to the Clearinghouse would result in more robust information being provided to the certification bodies?</w:t>
      </w:r>
    </w:p>
    <w:p w14:paraId="589D0D3C" w14:textId="4CF7AA1D" w:rsidR="001514B3" w:rsidRPr="00C8412E" w:rsidRDefault="001514B3" w:rsidP="001514B3">
      <w:pPr>
        <w:pStyle w:val="BodyText"/>
        <w:tabs>
          <w:tab w:val="left" w:pos="720"/>
        </w:tabs>
        <w:spacing w:after="160" w:line="259" w:lineRule="auto"/>
        <w:ind w:left="720" w:right="158" w:hanging="720"/>
        <w:rPr>
          <w:sz w:val="22"/>
        </w:rPr>
      </w:pPr>
      <w:r w:rsidRPr="00C8412E">
        <w:rPr>
          <w:sz w:val="22"/>
        </w:rPr>
        <w:t>A:</w:t>
      </w:r>
      <w:r w:rsidRPr="00C8412E">
        <w:rPr>
          <w:sz w:val="22"/>
        </w:rPr>
        <w:tab/>
      </w:r>
      <w:r>
        <w:rPr>
          <w:sz w:val="22"/>
        </w:rPr>
        <w:t xml:space="preserve">If certification bodies provide information about the race/ethnicity, gender, </w:t>
      </w:r>
      <w:r w:rsidR="009A6F88">
        <w:rPr>
          <w:sz w:val="22"/>
        </w:rPr>
        <w:t xml:space="preserve">and </w:t>
      </w:r>
      <w:r>
        <w:rPr>
          <w:sz w:val="22"/>
        </w:rPr>
        <w:t>disability status</w:t>
      </w:r>
      <w:r w:rsidR="009A6F88">
        <w:rPr>
          <w:sz w:val="22"/>
        </w:rPr>
        <w:t>,</w:t>
      </w:r>
      <w:r>
        <w:rPr>
          <w:sz w:val="22"/>
        </w:rPr>
        <w:t xml:space="preserve"> the certification bodies will receive more detailed data reports. In addition, matching of records can be improved if certification bodies provide some additional data such as: date of birth, name of educational institution, middle initial or name, previous first name, previous last name, address, zip code, cell phone</w:t>
      </w:r>
      <w:r w:rsidR="009A6F88">
        <w:rPr>
          <w:sz w:val="22"/>
        </w:rPr>
        <w:t>,</w:t>
      </w:r>
      <w:r>
        <w:rPr>
          <w:sz w:val="22"/>
        </w:rPr>
        <w:t xml:space="preserve"> or email</w:t>
      </w:r>
      <w:r w:rsidR="009A6F88">
        <w:rPr>
          <w:sz w:val="22"/>
        </w:rPr>
        <w:t>;</w:t>
      </w:r>
      <w:r>
        <w:rPr>
          <w:sz w:val="22"/>
        </w:rPr>
        <w:t xml:space="preserve"> </w:t>
      </w:r>
      <w:r w:rsidR="009A6F88">
        <w:rPr>
          <w:sz w:val="22"/>
        </w:rPr>
        <w:t>d</w:t>
      </w:r>
      <w:r>
        <w:rPr>
          <w:sz w:val="22"/>
        </w:rPr>
        <w:t xml:space="preserve">ate of birth is the data field that helps to improve data matching accuracy. </w:t>
      </w:r>
    </w:p>
    <w:p w14:paraId="1C119476" w14:textId="2A7D4C55" w:rsidR="001514B3" w:rsidRPr="0002264D" w:rsidRDefault="001514B3" w:rsidP="001514B3">
      <w:pPr>
        <w:pStyle w:val="BodyText"/>
        <w:tabs>
          <w:tab w:val="left" w:pos="720"/>
          <w:tab w:val="left" w:pos="810"/>
        </w:tabs>
        <w:spacing w:after="160" w:line="259" w:lineRule="auto"/>
        <w:ind w:left="720" w:right="245" w:hanging="720"/>
        <w:rPr>
          <w:b/>
          <w:color w:val="0070C0"/>
          <w:sz w:val="22"/>
        </w:rPr>
      </w:pPr>
      <w:r w:rsidRPr="0002264D">
        <w:rPr>
          <w:b/>
          <w:color w:val="0070C0"/>
          <w:sz w:val="22"/>
        </w:rPr>
        <w:t>Q:</w:t>
      </w:r>
      <w:r w:rsidRPr="0002264D">
        <w:rPr>
          <w:b/>
          <w:color w:val="0070C0"/>
          <w:sz w:val="22"/>
        </w:rPr>
        <w:tab/>
        <w:t>What is the status of integrating aggregate labor</w:t>
      </w:r>
      <w:r w:rsidR="009A6F88">
        <w:rPr>
          <w:b/>
          <w:color w:val="0070C0"/>
          <w:sz w:val="22"/>
        </w:rPr>
        <w:t>-</w:t>
      </w:r>
      <w:r w:rsidRPr="0002264D">
        <w:rPr>
          <w:b/>
          <w:color w:val="0070C0"/>
          <w:sz w:val="22"/>
        </w:rPr>
        <w:t>market outcomes into</w:t>
      </w:r>
      <w:r w:rsidRPr="0002264D">
        <w:rPr>
          <w:b/>
          <w:color w:val="0070C0"/>
          <w:spacing w:val="-21"/>
          <w:sz w:val="22"/>
        </w:rPr>
        <w:t xml:space="preserve"> </w:t>
      </w:r>
      <w:r w:rsidRPr="0002264D">
        <w:rPr>
          <w:b/>
          <w:color w:val="0070C0"/>
          <w:sz w:val="22"/>
        </w:rPr>
        <w:t>the</w:t>
      </w:r>
      <w:r w:rsidRPr="0002264D">
        <w:rPr>
          <w:b/>
          <w:color w:val="0070C0"/>
          <w:spacing w:val="-1"/>
          <w:sz w:val="22"/>
        </w:rPr>
        <w:t xml:space="preserve"> </w:t>
      </w:r>
      <w:r w:rsidRPr="0002264D">
        <w:rPr>
          <w:b/>
          <w:color w:val="0070C0"/>
          <w:sz w:val="22"/>
        </w:rPr>
        <w:t>Industry Credentials service and what will credentialing bodies receive back related to aggregate labor</w:t>
      </w:r>
      <w:r w:rsidR="009A6F88">
        <w:rPr>
          <w:b/>
          <w:color w:val="0070C0"/>
          <w:sz w:val="22"/>
        </w:rPr>
        <w:t>-</w:t>
      </w:r>
      <w:r w:rsidRPr="0002264D">
        <w:rPr>
          <w:b/>
          <w:color w:val="0070C0"/>
          <w:sz w:val="22"/>
        </w:rPr>
        <w:t>market</w:t>
      </w:r>
      <w:r w:rsidRPr="0002264D">
        <w:rPr>
          <w:b/>
          <w:color w:val="0070C0"/>
          <w:spacing w:val="-6"/>
          <w:sz w:val="22"/>
        </w:rPr>
        <w:t xml:space="preserve"> </w:t>
      </w:r>
      <w:r w:rsidRPr="0002264D">
        <w:rPr>
          <w:b/>
          <w:color w:val="0070C0"/>
          <w:sz w:val="22"/>
        </w:rPr>
        <w:t>outcomes?</w:t>
      </w:r>
    </w:p>
    <w:p w14:paraId="6979284A" w14:textId="587434C2" w:rsidR="001514B3" w:rsidRDefault="001514B3" w:rsidP="001514B3">
      <w:pPr>
        <w:pStyle w:val="BodyText"/>
        <w:tabs>
          <w:tab w:val="left" w:pos="720"/>
        </w:tabs>
        <w:spacing w:after="160" w:line="259" w:lineRule="auto"/>
        <w:ind w:left="720" w:right="302" w:hanging="720"/>
        <w:rPr>
          <w:sz w:val="22"/>
        </w:rPr>
      </w:pPr>
      <w:r w:rsidRPr="00C8412E">
        <w:rPr>
          <w:sz w:val="22"/>
        </w:rPr>
        <w:t>A:</w:t>
      </w:r>
      <w:r>
        <w:rPr>
          <w:sz w:val="22"/>
        </w:rPr>
        <w:tab/>
      </w:r>
      <w:r w:rsidR="00EB09A0" w:rsidRPr="00C8412E">
        <w:rPr>
          <w:sz w:val="22"/>
        </w:rPr>
        <w:t>The Census Bureau, the Clearinghouse, and the National Association</w:t>
      </w:r>
      <w:r w:rsidR="00EB09A0" w:rsidRPr="00C8412E">
        <w:rPr>
          <w:spacing w:val="-16"/>
          <w:sz w:val="22"/>
        </w:rPr>
        <w:t xml:space="preserve"> </w:t>
      </w:r>
      <w:r w:rsidR="00EB09A0" w:rsidRPr="00C8412E">
        <w:rPr>
          <w:sz w:val="22"/>
        </w:rPr>
        <w:t>of</w:t>
      </w:r>
      <w:r w:rsidR="00EB09A0" w:rsidRPr="00C8412E">
        <w:rPr>
          <w:spacing w:val="-3"/>
          <w:sz w:val="22"/>
        </w:rPr>
        <w:t xml:space="preserve"> </w:t>
      </w:r>
      <w:r w:rsidR="00EB09A0" w:rsidRPr="00C8412E">
        <w:rPr>
          <w:sz w:val="22"/>
        </w:rPr>
        <w:t>Manufacturers have been working together since early 2019 on processing and analyzing the link between education, industry certification data from the pilot participants, and aggregate labor</w:t>
      </w:r>
      <w:r w:rsidR="009A6F88">
        <w:rPr>
          <w:sz w:val="22"/>
        </w:rPr>
        <w:t>-</w:t>
      </w:r>
      <w:r w:rsidR="00EB09A0" w:rsidRPr="00C8412E">
        <w:rPr>
          <w:sz w:val="22"/>
        </w:rPr>
        <w:t xml:space="preserve">market data. </w:t>
      </w:r>
      <w:r w:rsidR="00EB09A0">
        <w:rPr>
          <w:sz w:val="22"/>
        </w:rPr>
        <w:t>This pilot project has produced preliminary aggregate labor</w:t>
      </w:r>
      <w:r w:rsidR="009A6F88">
        <w:rPr>
          <w:sz w:val="22"/>
        </w:rPr>
        <w:t>-</w:t>
      </w:r>
      <w:r w:rsidR="00EB09A0">
        <w:rPr>
          <w:sz w:val="22"/>
        </w:rPr>
        <w:t xml:space="preserve">market outcome results for entry-level manufacturing certifications. </w:t>
      </w:r>
      <w:hyperlink r:id="rId14" w:history="1">
        <w:r w:rsidR="00A52BBD" w:rsidRPr="00A52BBD">
          <w:rPr>
            <w:rStyle w:val="Hyperlink"/>
            <w:color w:val="0070C0"/>
            <w:sz w:val="22"/>
          </w:rPr>
          <w:t>This</w:t>
        </w:r>
      </w:hyperlink>
      <w:r w:rsidR="00A52BBD">
        <w:rPr>
          <w:sz w:val="22"/>
        </w:rPr>
        <w:t xml:space="preserve"> </w:t>
      </w:r>
      <w:r w:rsidR="00EB09A0">
        <w:rPr>
          <w:sz w:val="22"/>
        </w:rPr>
        <w:t xml:space="preserve">white paper discusses those pilot results. Those results were released after going through the </w:t>
      </w:r>
      <w:r w:rsidR="009A6F88">
        <w:rPr>
          <w:sz w:val="22"/>
        </w:rPr>
        <w:t>d</w:t>
      </w:r>
      <w:r w:rsidR="00EB09A0" w:rsidRPr="00C8412E">
        <w:rPr>
          <w:sz w:val="22"/>
        </w:rPr>
        <w:t xml:space="preserve">isclosure </w:t>
      </w:r>
      <w:r w:rsidR="009A6F88">
        <w:rPr>
          <w:sz w:val="22"/>
        </w:rPr>
        <w:t>r</w:t>
      </w:r>
      <w:r w:rsidR="00EB09A0" w:rsidRPr="00C8412E">
        <w:rPr>
          <w:sz w:val="22"/>
        </w:rPr>
        <w:t xml:space="preserve">eview </w:t>
      </w:r>
      <w:r w:rsidR="009A6F88">
        <w:rPr>
          <w:sz w:val="22"/>
        </w:rPr>
        <w:t>b</w:t>
      </w:r>
      <w:r w:rsidR="00EB09A0" w:rsidRPr="00C8412E">
        <w:rPr>
          <w:sz w:val="22"/>
        </w:rPr>
        <w:t>oard process at the Census Bureau. Please note that only aggregate</w:t>
      </w:r>
      <w:r w:rsidR="009A6F88">
        <w:rPr>
          <w:sz w:val="22"/>
        </w:rPr>
        <w:t>-</w:t>
      </w:r>
      <w:r w:rsidR="00EB09A0" w:rsidRPr="00C8412E">
        <w:rPr>
          <w:sz w:val="22"/>
        </w:rPr>
        <w:t>level information will be released from the Census Bureau.</w:t>
      </w:r>
    </w:p>
    <w:p w14:paraId="135AED8A" w14:textId="67482D95" w:rsidR="008E2B06" w:rsidRPr="003D68A6" w:rsidRDefault="00284F3D" w:rsidP="008E2B06">
      <w:pPr>
        <w:spacing w:after="240"/>
        <w:rPr>
          <w:b/>
          <w:color w:val="0070C0"/>
          <w:sz w:val="28"/>
          <w:szCs w:val="28"/>
          <w:u w:val="single"/>
        </w:rPr>
      </w:pPr>
      <w:r>
        <w:rPr>
          <w:b/>
          <w:color w:val="0070C0"/>
          <w:sz w:val="28"/>
          <w:szCs w:val="28"/>
          <w:u w:val="single"/>
        </w:rPr>
        <w:t xml:space="preserve">Process to Participate, </w:t>
      </w:r>
      <w:r w:rsidR="008E2B06">
        <w:rPr>
          <w:b/>
          <w:color w:val="0070C0"/>
          <w:sz w:val="28"/>
          <w:szCs w:val="28"/>
          <w:u w:val="single"/>
        </w:rPr>
        <w:t xml:space="preserve">Costs and </w:t>
      </w:r>
      <w:r>
        <w:rPr>
          <w:b/>
          <w:color w:val="0070C0"/>
          <w:sz w:val="28"/>
          <w:szCs w:val="28"/>
          <w:u w:val="single"/>
        </w:rPr>
        <w:t xml:space="preserve">Other Clearinghouse </w:t>
      </w:r>
      <w:r w:rsidR="008E2B06">
        <w:rPr>
          <w:b/>
          <w:color w:val="0070C0"/>
          <w:sz w:val="28"/>
          <w:szCs w:val="28"/>
          <w:u w:val="single"/>
        </w:rPr>
        <w:t>Services</w:t>
      </w:r>
    </w:p>
    <w:p w14:paraId="3FBA54FE" w14:textId="28EC8BD2" w:rsidR="00284F3D" w:rsidRDefault="00284F3D" w:rsidP="00284F3D">
      <w:pPr>
        <w:pStyle w:val="BodyText"/>
        <w:spacing w:after="160" w:line="259" w:lineRule="auto"/>
        <w:ind w:left="720" w:right="1454" w:hanging="720"/>
        <w:rPr>
          <w:b/>
          <w:color w:val="0070C0"/>
          <w:sz w:val="22"/>
        </w:rPr>
      </w:pPr>
      <w:r w:rsidRPr="0002264D">
        <w:rPr>
          <w:b/>
          <w:color w:val="0070C0"/>
          <w:sz w:val="22"/>
        </w:rPr>
        <w:t>Q:</w:t>
      </w:r>
      <w:r w:rsidRPr="0002264D">
        <w:rPr>
          <w:b/>
          <w:color w:val="0070C0"/>
          <w:sz w:val="22"/>
        </w:rPr>
        <w:tab/>
        <w:t>Wh</w:t>
      </w:r>
      <w:r>
        <w:rPr>
          <w:b/>
          <w:color w:val="0070C0"/>
          <w:sz w:val="22"/>
        </w:rPr>
        <w:t>at is the process for a certification body to participate in the Industry Credentials Initiative?</w:t>
      </w:r>
    </w:p>
    <w:p w14:paraId="6A5B7A2C" w14:textId="77777777" w:rsidR="00284F3D" w:rsidRPr="00CD09F2" w:rsidRDefault="00284F3D" w:rsidP="00284F3D">
      <w:pPr>
        <w:pStyle w:val="BodyText"/>
        <w:tabs>
          <w:tab w:val="left" w:pos="720"/>
        </w:tabs>
        <w:spacing w:after="160" w:line="259" w:lineRule="auto"/>
        <w:ind w:left="720" w:right="1454" w:hanging="720"/>
        <w:rPr>
          <w:sz w:val="22"/>
        </w:rPr>
      </w:pPr>
      <w:r w:rsidRPr="0002264D">
        <w:rPr>
          <w:sz w:val="22"/>
        </w:rPr>
        <w:t>A:</w:t>
      </w:r>
      <w:r w:rsidRPr="0002264D">
        <w:rPr>
          <w:sz w:val="22"/>
        </w:rPr>
        <w:tab/>
      </w:r>
      <w:r>
        <w:rPr>
          <w:sz w:val="22"/>
        </w:rPr>
        <w:t xml:space="preserve">The process for certification bodies to participate in the Industry Credentials Initiative is as follows: </w:t>
      </w:r>
    </w:p>
    <w:p w14:paraId="526AEB62" w14:textId="77777777" w:rsidR="00284F3D" w:rsidRPr="006924E3" w:rsidRDefault="00284F3D" w:rsidP="00320D78">
      <w:pPr>
        <w:pStyle w:val="BodyText"/>
        <w:numPr>
          <w:ilvl w:val="0"/>
          <w:numId w:val="4"/>
        </w:numPr>
        <w:tabs>
          <w:tab w:val="left" w:pos="859"/>
        </w:tabs>
        <w:spacing w:after="160" w:line="259" w:lineRule="auto"/>
        <w:ind w:right="1454"/>
        <w:rPr>
          <w:sz w:val="22"/>
          <w:szCs w:val="22"/>
        </w:rPr>
      </w:pPr>
      <w:r w:rsidRPr="006924E3">
        <w:rPr>
          <w:sz w:val="22"/>
          <w:szCs w:val="22"/>
        </w:rPr>
        <w:t>Assess process to pull minimum data and historical data</w:t>
      </w:r>
    </w:p>
    <w:p w14:paraId="6AD5030A" w14:textId="77777777" w:rsidR="00284F3D" w:rsidRPr="006924E3" w:rsidRDefault="00284F3D" w:rsidP="00320D78">
      <w:pPr>
        <w:pStyle w:val="BodyText"/>
        <w:numPr>
          <w:ilvl w:val="0"/>
          <w:numId w:val="4"/>
        </w:numPr>
        <w:tabs>
          <w:tab w:val="left" w:pos="859"/>
        </w:tabs>
        <w:spacing w:after="160" w:line="259" w:lineRule="auto"/>
        <w:ind w:right="1454"/>
        <w:rPr>
          <w:sz w:val="22"/>
          <w:szCs w:val="22"/>
        </w:rPr>
      </w:pPr>
      <w:r w:rsidRPr="006924E3">
        <w:rPr>
          <w:sz w:val="22"/>
          <w:szCs w:val="22"/>
        </w:rPr>
        <w:t>Set up SFTP/application credentials for certifying body</w:t>
      </w:r>
    </w:p>
    <w:p w14:paraId="08E27AD1" w14:textId="77777777" w:rsidR="00284F3D" w:rsidRPr="006924E3" w:rsidRDefault="00284F3D" w:rsidP="00320D78">
      <w:pPr>
        <w:pStyle w:val="BodyText"/>
        <w:numPr>
          <w:ilvl w:val="0"/>
          <w:numId w:val="4"/>
        </w:numPr>
        <w:tabs>
          <w:tab w:val="left" w:pos="859"/>
        </w:tabs>
        <w:spacing w:after="160" w:line="259" w:lineRule="auto"/>
        <w:ind w:right="1454"/>
        <w:rPr>
          <w:sz w:val="22"/>
          <w:szCs w:val="22"/>
        </w:rPr>
      </w:pPr>
      <w:r w:rsidRPr="006924E3">
        <w:rPr>
          <w:sz w:val="22"/>
          <w:szCs w:val="22"/>
        </w:rPr>
        <w:t>Work with Clearinghouse to submit test data</w:t>
      </w:r>
    </w:p>
    <w:p w14:paraId="738E51DB" w14:textId="77777777" w:rsidR="00284F3D" w:rsidRPr="006924E3" w:rsidRDefault="00284F3D" w:rsidP="00320D78">
      <w:pPr>
        <w:pStyle w:val="BodyText"/>
        <w:numPr>
          <w:ilvl w:val="0"/>
          <w:numId w:val="4"/>
        </w:numPr>
        <w:tabs>
          <w:tab w:val="left" w:pos="859"/>
        </w:tabs>
        <w:spacing w:after="160" w:line="259" w:lineRule="auto"/>
        <w:ind w:right="1454"/>
        <w:rPr>
          <w:sz w:val="22"/>
          <w:szCs w:val="22"/>
        </w:rPr>
      </w:pPr>
      <w:r w:rsidRPr="006924E3">
        <w:rPr>
          <w:sz w:val="22"/>
          <w:szCs w:val="22"/>
        </w:rPr>
        <w:t>Submit cohort data including historical data</w:t>
      </w:r>
    </w:p>
    <w:p w14:paraId="35E725A9" w14:textId="77777777" w:rsidR="00284F3D" w:rsidRPr="006924E3" w:rsidRDefault="00284F3D" w:rsidP="00320D78">
      <w:pPr>
        <w:pStyle w:val="BodyText"/>
        <w:numPr>
          <w:ilvl w:val="0"/>
          <w:numId w:val="4"/>
        </w:numPr>
        <w:tabs>
          <w:tab w:val="left" w:pos="859"/>
        </w:tabs>
        <w:spacing w:after="160" w:line="259" w:lineRule="auto"/>
        <w:ind w:right="1454"/>
        <w:rPr>
          <w:sz w:val="22"/>
          <w:szCs w:val="22"/>
        </w:rPr>
      </w:pPr>
      <w:r w:rsidRPr="006924E3">
        <w:rPr>
          <w:sz w:val="22"/>
          <w:szCs w:val="22"/>
        </w:rPr>
        <w:t>Generate student-level and aggregate education outcomes reports</w:t>
      </w:r>
    </w:p>
    <w:p w14:paraId="7F9C9BD5" w14:textId="226D7BDB" w:rsidR="00284F3D" w:rsidRPr="006924E3" w:rsidRDefault="00284F3D" w:rsidP="00320D78">
      <w:pPr>
        <w:pStyle w:val="BodyText"/>
        <w:numPr>
          <w:ilvl w:val="0"/>
          <w:numId w:val="4"/>
        </w:numPr>
        <w:tabs>
          <w:tab w:val="left" w:pos="859"/>
        </w:tabs>
        <w:spacing w:after="160" w:line="259" w:lineRule="auto"/>
        <w:ind w:right="1454"/>
        <w:rPr>
          <w:sz w:val="22"/>
          <w:szCs w:val="22"/>
        </w:rPr>
      </w:pPr>
      <w:r w:rsidRPr="006924E3">
        <w:rPr>
          <w:sz w:val="22"/>
          <w:szCs w:val="22"/>
        </w:rPr>
        <w:t xml:space="preserve">Create file to submit to </w:t>
      </w:r>
      <w:r w:rsidR="009A6F88">
        <w:rPr>
          <w:sz w:val="22"/>
          <w:szCs w:val="22"/>
        </w:rPr>
        <w:t xml:space="preserve">the </w:t>
      </w:r>
      <w:r w:rsidRPr="006924E3">
        <w:rPr>
          <w:sz w:val="22"/>
          <w:szCs w:val="22"/>
        </w:rPr>
        <w:t>U.S. Census Bureau</w:t>
      </w:r>
    </w:p>
    <w:p w14:paraId="3613399C" w14:textId="40FC3D21" w:rsidR="00284F3D" w:rsidRPr="006924E3" w:rsidRDefault="00284F3D" w:rsidP="00320D78">
      <w:pPr>
        <w:pStyle w:val="BodyText"/>
        <w:numPr>
          <w:ilvl w:val="0"/>
          <w:numId w:val="4"/>
        </w:numPr>
        <w:tabs>
          <w:tab w:val="left" w:pos="859"/>
        </w:tabs>
        <w:spacing w:after="160" w:line="259" w:lineRule="auto"/>
        <w:ind w:right="1454"/>
        <w:rPr>
          <w:sz w:val="22"/>
          <w:szCs w:val="22"/>
        </w:rPr>
      </w:pPr>
      <w:r w:rsidRPr="006924E3">
        <w:rPr>
          <w:sz w:val="22"/>
          <w:szCs w:val="22"/>
        </w:rPr>
        <w:lastRenderedPageBreak/>
        <w:t>Review and analyze U.S. Census Bureau aggregate labor</w:t>
      </w:r>
      <w:r w:rsidR="00693773">
        <w:rPr>
          <w:sz w:val="22"/>
          <w:szCs w:val="22"/>
        </w:rPr>
        <w:t>-</w:t>
      </w:r>
      <w:r w:rsidRPr="006924E3">
        <w:rPr>
          <w:sz w:val="22"/>
          <w:szCs w:val="22"/>
        </w:rPr>
        <w:t>market outcomes</w:t>
      </w:r>
    </w:p>
    <w:p w14:paraId="2CD83636" w14:textId="77777777" w:rsidR="00F96CF1" w:rsidRPr="00117215" w:rsidRDefault="00F96CF1" w:rsidP="0002264D">
      <w:pPr>
        <w:pStyle w:val="BodyText"/>
        <w:tabs>
          <w:tab w:val="left" w:pos="720"/>
        </w:tabs>
        <w:spacing w:after="160" w:line="259" w:lineRule="auto"/>
        <w:rPr>
          <w:b/>
          <w:color w:val="0070C0"/>
          <w:sz w:val="22"/>
        </w:rPr>
      </w:pPr>
      <w:r w:rsidRPr="00117215">
        <w:rPr>
          <w:b/>
          <w:color w:val="0070C0"/>
          <w:sz w:val="22"/>
        </w:rPr>
        <w:t>Q:</w:t>
      </w:r>
      <w:r w:rsidRPr="00117215">
        <w:rPr>
          <w:b/>
          <w:color w:val="0070C0"/>
          <w:sz w:val="22"/>
        </w:rPr>
        <w:tab/>
        <w:t>What will the Clearinghouse charge for this</w:t>
      </w:r>
      <w:r w:rsidRPr="00117215">
        <w:rPr>
          <w:b/>
          <w:color w:val="0070C0"/>
          <w:spacing w:val="-14"/>
          <w:sz w:val="22"/>
        </w:rPr>
        <w:t xml:space="preserve"> </w:t>
      </w:r>
      <w:r w:rsidRPr="00117215">
        <w:rPr>
          <w:b/>
          <w:color w:val="0070C0"/>
          <w:sz w:val="22"/>
        </w:rPr>
        <w:t>service?</w:t>
      </w:r>
    </w:p>
    <w:p w14:paraId="55D80B18" w14:textId="6A15E447" w:rsidR="00F96CF1" w:rsidRPr="00C8412E" w:rsidRDefault="00F96CF1" w:rsidP="0002264D">
      <w:pPr>
        <w:pStyle w:val="BodyText"/>
        <w:tabs>
          <w:tab w:val="left" w:pos="720"/>
        </w:tabs>
        <w:spacing w:after="160" w:line="259" w:lineRule="auto"/>
        <w:ind w:left="720" w:right="152" w:hanging="720"/>
        <w:rPr>
          <w:sz w:val="22"/>
        </w:rPr>
      </w:pPr>
      <w:r w:rsidRPr="00C8412E">
        <w:rPr>
          <w:sz w:val="22"/>
        </w:rPr>
        <w:t>A:</w:t>
      </w:r>
      <w:r w:rsidRPr="00C8412E">
        <w:rPr>
          <w:sz w:val="22"/>
        </w:rPr>
        <w:tab/>
        <w:t>Today, this initiative is a pilot and the Clearinghouse is not currently charging</w:t>
      </w:r>
      <w:r w:rsidRPr="00C8412E">
        <w:rPr>
          <w:spacing w:val="-20"/>
          <w:sz w:val="22"/>
        </w:rPr>
        <w:t xml:space="preserve"> </w:t>
      </w:r>
      <w:r w:rsidRPr="00C8412E">
        <w:rPr>
          <w:sz w:val="22"/>
        </w:rPr>
        <w:t>for</w:t>
      </w:r>
      <w:r w:rsidRPr="00C8412E">
        <w:rPr>
          <w:spacing w:val="-3"/>
          <w:sz w:val="22"/>
        </w:rPr>
        <w:t xml:space="preserve"> </w:t>
      </w:r>
      <w:r w:rsidRPr="00C8412E">
        <w:rPr>
          <w:sz w:val="22"/>
        </w:rPr>
        <w:t>this service. The eventual pricing model will be based on recovering the Clearinghouse’s costs for providing the service. An example of Clearinghouse pricing is the $1,995 per year subscription pricing the Clearinghouse charges the largest institutions, based on enrollment, for the StudentTracker® for Colleges and Universities reporting service. This service is like the Industry Credentials service. The Clearinghouse also offers product bundle pricing where institutions pay for Verification Services, for example, and receive the StudentTracker® reporting service for free. Product bundle pricing may be leveraged in the Industry Credential service pricing</w:t>
      </w:r>
      <w:r w:rsidRPr="00C8412E">
        <w:rPr>
          <w:spacing w:val="-10"/>
          <w:sz w:val="22"/>
        </w:rPr>
        <w:t xml:space="preserve"> </w:t>
      </w:r>
      <w:r w:rsidRPr="00C8412E">
        <w:rPr>
          <w:sz w:val="22"/>
        </w:rPr>
        <w:t>model.</w:t>
      </w:r>
    </w:p>
    <w:p w14:paraId="7C5731A9" w14:textId="77777777" w:rsidR="00F96CF1" w:rsidRPr="0002264D" w:rsidRDefault="00F96CF1" w:rsidP="0002264D">
      <w:pPr>
        <w:pStyle w:val="BodyText"/>
        <w:tabs>
          <w:tab w:val="left" w:pos="720"/>
        </w:tabs>
        <w:spacing w:before="51" w:after="160" w:line="259" w:lineRule="auto"/>
        <w:rPr>
          <w:b/>
          <w:color w:val="0070C0"/>
          <w:sz w:val="22"/>
        </w:rPr>
      </w:pPr>
      <w:r w:rsidRPr="0002264D">
        <w:rPr>
          <w:b/>
          <w:color w:val="0070C0"/>
          <w:sz w:val="22"/>
        </w:rPr>
        <w:t>Q:</w:t>
      </w:r>
      <w:r w:rsidRPr="0002264D">
        <w:rPr>
          <w:b/>
          <w:color w:val="0070C0"/>
          <w:sz w:val="22"/>
        </w:rPr>
        <w:tab/>
        <w:t>What is the Clearinghouse’s Verification</w:t>
      </w:r>
      <w:r w:rsidRPr="0002264D">
        <w:rPr>
          <w:b/>
          <w:color w:val="0070C0"/>
          <w:spacing w:val="-17"/>
          <w:sz w:val="22"/>
        </w:rPr>
        <w:t xml:space="preserve"> </w:t>
      </w:r>
      <w:r w:rsidRPr="0002264D">
        <w:rPr>
          <w:b/>
          <w:color w:val="0070C0"/>
          <w:sz w:val="22"/>
        </w:rPr>
        <w:t>Services?</w:t>
      </w:r>
    </w:p>
    <w:p w14:paraId="3819276B" w14:textId="77777777" w:rsidR="00F96CF1" w:rsidRPr="00C8412E" w:rsidRDefault="00F96CF1" w:rsidP="0002264D">
      <w:pPr>
        <w:pStyle w:val="BodyText"/>
        <w:tabs>
          <w:tab w:val="left" w:pos="720"/>
        </w:tabs>
        <w:spacing w:after="160" w:line="259" w:lineRule="auto"/>
        <w:ind w:left="720" w:right="236" w:hanging="720"/>
        <w:rPr>
          <w:sz w:val="22"/>
        </w:rPr>
      </w:pPr>
      <w:r w:rsidRPr="00C8412E">
        <w:rPr>
          <w:sz w:val="22"/>
        </w:rPr>
        <w:t>A:</w:t>
      </w:r>
      <w:r w:rsidRPr="00C8412E">
        <w:rPr>
          <w:sz w:val="22"/>
        </w:rPr>
        <w:tab/>
        <w:t>Verification Services provides the institutions participating with the</w:t>
      </w:r>
      <w:r w:rsidRPr="00C8412E">
        <w:rPr>
          <w:spacing w:val="-24"/>
          <w:sz w:val="22"/>
        </w:rPr>
        <w:t xml:space="preserve"> </w:t>
      </w:r>
      <w:r w:rsidRPr="00C8412E">
        <w:rPr>
          <w:sz w:val="22"/>
        </w:rPr>
        <w:t>Clearinghouse</w:t>
      </w:r>
      <w:r w:rsidRPr="00C8412E">
        <w:rPr>
          <w:spacing w:val="-4"/>
          <w:sz w:val="22"/>
        </w:rPr>
        <w:t xml:space="preserve"> </w:t>
      </w:r>
      <w:r w:rsidRPr="00C8412E">
        <w:rPr>
          <w:sz w:val="22"/>
        </w:rPr>
        <w:t>the</w:t>
      </w:r>
      <w:r w:rsidRPr="00C8412E">
        <w:rPr>
          <w:spacing w:val="1"/>
          <w:sz w:val="22"/>
        </w:rPr>
        <w:t xml:space="preserve"> </w:t>
      </w:r>
      <w:r w:rsidRPr="00C8412E">
        <w:rPr>
          <w:sz w:val="22"/>
        </w:rPr>
        <w:t>opportunity to reduce their administrative burden of responding to background screeners, as one example, to verify the degrees of students for employment purposes. That service allows the processing of multiple degree verification requests in one session. Participation in this service for credentialing bodies is not required as the Clearinghouse understands many credentialing bodies provide that service today. More information on that service is</w:t>
      </w:r>
      <w:r w:rsidRPr="00C8412E">
        <w:rPr>
          <w:spacing w:val="-9"/>
          <w:sz w:val="22"/>
        </w:rPr>
        <w:t xml:space="preserve"> </w:t>
      </w:r>
      <w:hyperlink r:id="rId15">
        <w:r w:rsidRPr="00A52BBD">
          <w:rPr>
            <w:color w:val="0070C0"/>
            <w:sz w:val="22"/>
            <w:u w:val="single"/>
          </w:rPr>
          <w:t>here</w:t>
        </w:r>
      </w:hyperlink>
      <w:r w:rsidRPr="00C8412E">
        <w:rPr>
          <w:sz w:val="22"/>
        </w:rPr>
        <w:t>.</w:t>
      </w:r>
    </w:p>
    <w:p w14:paraId="1070EFD0" w14:textId="162F91D9" w:rsidR="008E2B06" w:rsidRPr="003D68A6" w:rsidRDefault="008E2B06" w:rsidP="008E2B06">
      <w:pPr>
        <w:spacing w:after="240"/>
        <w:rPr>
          <w:b/>
          <w:color w:val="0070C0"/>
          <w:sz w:val="28"/>
          <w:szCs w:val="28"/>
          <w:u w:val="single"/>
        </w:rPr>
      </w:pPr>
      <w:r>
        <w:rPr>
          <w:b/>
          <w:color w:val="0070C0"/>
          <w:sz w:val="28"/>
          <w:szCs w:val="28"/>
          <w:u w:val="single"/>
        </w:rPr>
        <w:t>Contact for Additional Information</w:t>
      </w:r>
    </w:p>
    <w:p w14:paraId="0DB2BC38" w14:textId="77777777" w:rsidR="000816AE" w:rsidRDefault="00F96CF1" w:rsidP="00817D83">
      <w:pPr>
        <w:pStyle w:val="BodyText"/>
        <w:tabs>
          <w:tab w:val="left" w:pos="720"/>
        </w:tabs>
        <w:spacing w:after="160" w:line="259" w:lineRule="auto"/>
        <w:ind w:right="1454"/>
        <w:rPr>
          <w:b/>
          <w:color w:val="0070C0"/>
          <w:sz w:val="22"/>
        </w:rPr>
      </w:pPr>
      <w:r w:rsidRPr="0002264D">
        <w:rPr>
          <w:b/>
          <w:color w:val="0070C0"/>
          <w:sz w:val="22"/>
        </w:rPr>
        <w:t>Q:</w:t>
      </w:r>
      <w:r w:rsidRPr="0002264D">
        <w:rPr>
          <w:b/>
          <w:color w:val="0070C0"/>
          <w:sz w:val="22"/>
        </w:rPr>
        <w:tab/>
        <w:t>Who can I contact about participating in the Industry</w:t>
      </w:r>
      <w:r w:rsidRPr="0002264D">
        <w:rPr>
          <w:b/>
          <w:color w:val="0070C0"/>
          <w:spacing w:val="-20"/>
          <w:sz w:val="22"/>
        </w:rPr>
        <w:t xml:space="preserve"> </w:t>
      </w:r>
      <w:r w:rsidRPr="0002264D">
        <w:rPr>
          <w:b/>
          <w:color w:val="0070C0"/>
          <w:sz w:val="22"/>
        </w:rPr>
        <w:t>Credentials</w:t>
      </w:r>
      <w:r w:rsidRPr="0002264D">
        <w:rPr>
          <w:b/>
          <w:color w:val="0070C0"/>
          <w:spacing w:val="-2"/>
          <w:sz w:val="22"/>
        </w:rPr>
        <w:t xml:space="preserve"> </w:t>
      </w:r>
      <w:r w:rsidRPr="0002264D">
        <w:rPr>
          <w:b/>
          <w:color w:val="0070C0"/>
          <w:sz w:val="22"/>
        </w:rPr>
        <w:t xml:space="preserve">initiative? </w:t>
      </w:r>
    </w:p>
    <w:p w14:paraId="2B5D7215" w14:textId="77777777" w:rsidR="00320D78" w:rsidRPr="00FE0E56" w:rsidRDefault="00F96CF1" w:rsidP="00320D78">
      <w:pPr>
        <w:ind w:left="720" w:hanging="720"/>
      </w:pPr>
      <w:r w:rsidRPr="0002264D">
        <w:t>A:</w:t>
      </w:r>
      <w:r w:rsidRPr="0002264D">
        <w:tab/>
      </w:r>
      <w:r w:rsidR="00320D78">
        <w:t xml:space="preserve">If you would like more information about the Industry Credentials Initiative, please contact Karen Elzey, associate executive director, Workcred, </w:t>
      </w:r>
      <w:hyperlink r:id="rId16" w:history="1">
        <w:r w:rsidR="00320D78" w:rsidRPr="006F2604">
          <w:rPr>
            <w:rStyle w:val="Hyperlink"/>
          </w:rPr>
          <w:t>kelzey@workcred.org</w:t>
        </w:r>
      </w:hyperlink>
      <w:r w:rsidR="00320D78" w:rsidRPr="006E6716">
        <w:rPr>
          <w:rStyle w:val="Hyperlink"/>
          <w:u w:val="none"/>
        </w:rPr>
        <w:t xml:space="preserve"> </w:t>
      </w:r>
      <w:r w:rsidR="00320D78" w:rsidRPr="006E6716">
        <w:t xml:space="preserve">or </w:t>
      </w:r>
      <w:r w:rsidR="00320D78">
        <w:t>Melissa Buckley, r</w:t>
      </w:r>
      <w:r w:rsidR="00320D78" w:rsidRPr="006E6716">
        <w:t xml:space="preserve">elationship </w:t>
      </w:r>
      <w:r w:rsidR="00320D78">
        <w:t>m</w:t>
      </w:r>
      <w:r w:rsidR="00320D78" w:rsidRPr="006E6716">
        <w:t xml:space="preserve">anagement </w:t>
      </w:r>
      <w:r w:rsidR="00320D78">
        <w:t>d</w:t>
      </w:r>
      <w:r w:rsidR="00320D78" w:rsidRPr="006E6716">
        <w:t xml:space="preserve">irector of </w:t>
      </w:r>
      <w:r w:rsidR="00320D78">
        <w:t>r</w:t>
      </w:r>
      <w:r w:rsidR="00320D78" w:rsidRPr="006E6716">
        <w:t xml:space="preserve">esources &amp; </w:t>
      </w:r>
      <w:r w:rsidR="00320D78">
        <w:t>a</w:t>
      </w:r>
      <w:r w:rsidR="00320D78" w:rsidRPr="006E6716">
        <w:t>nalytics</w:t>
      </w:r>
      <w:r w:rsidR="00320D78">
        <w:t xml:space="preserve">, National Student Clearinghouse, </w:t>
      </w:r>
      <w:hyperlink r:id="rId17" w:history="1">
        <w:r w:rsidR="00320D78" w:rsidRPr="00AE20D5">
          <w:rPr>
            <w:rStyle w:val="Hyperlink"/>
          </w:rPr>
          <w:t>buckley@studentclearinghouse.org</w:t>
        </w:r>
      </w:hyperlink>
      <w:r w:rsidR="00320D78">
        <w:t>.</w:t>
      </w:r>
    </w:p>
    <w:p w14:paraId="1CEB0C52" w14:textId="1AC5A526" w:rsidR="00CD09F2" w:rsidRDefault="00CD09F2" w:rsidP="00817D83">
      <w:pPr>
        <w:pStyle w:val="BodyText"/>
        <w:tabs>
          <w:tab w:val="left" w:pos="720"/>
        </w:tabs>
        <w:spacing w:after="160" w:line="259" w:lineRule="auto"/>
        <w:ind w:left="720" w:right="1454" w:hanging="720"/>
        <w:rPr>
          <w:sz w:val="22"/>
        </w:rPr>
      </w:pPr>
    </w:p>
    <w:p w14:paraId="687B37FC" w14:textId="77777777" w:rsidR="00320D78" w:rsidRPr="00817D83" w:rsidRDefault="00320D78" w:rsidP="00817D83">
      <w:pPr>
        <w:pStyle w:val="BodyText"/>
        <w:tabs>
          <w:tab w:val="left" w:pos="720"/>
        </w:tabs>
        <w:spacing w:after="160" w:line="259" w:lineRule="auto"/>
        <w:ind w:left="720" w:right="1454" w:hanging="720"/>
        <w:rPr>
          <w:sz w:val="22"/>
        </w:rPr>
      </w:pPr>
      <w:bookmarkStart w:id="0" w:name="_GoBack"/>
      <w:bookmarkEnd w:id="0"/>
    </w:p>
    <w:sectPr w:rsidR="00320D78" w:rsidRPr="00817D83" w:rsidSect="00F96CF1">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5156F" w14:textId="77777777" w:rsidR="00811A1C" w:rsidRDefault="00811A1C" w:rsidP="00E25649">
      <w:pPr>
        <w:spacing w:after="0" w:line="240" w:lineRule="auto"/>
      </w:pPr>
      <w:r>
        <w:separator/>
      </w:r>
    </w:p>
  </w:endnote>
  <w:endnote w:type="continuationSeparator" w:id="0">
    <w:p w14:paraId="7092AB28" w14:textId="77777777" w:rsidR="00811A1C" w:rsidRDefault="00811A1C" w:rsidP="00E2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304312929"/>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757DFAB8" w14:textId="474178CA" w:rsidR="00EF4E45" w:rsidRPr="003D68A6" w:rsidRDefault="00EF4E45">
            <w:pPr>
              <w:pStyle w:val="Footer"/>
              <w:jc w:val="center"/>
              <w:rPr>
                <w:sz w:val="20"/>
              </w:rPr>
            </w:pPr>
            <w:r w:rsidRPr="003D68A6">
              <w:rPr>
                <w:sz w:val="20"/>
              </w:rPr>
              <w:t xml:space="preserve">Page </w:t>
            </w:r>
            <w:r w:rsidRPr="003D68A6">
              <w:rPr>
                <w:b/>
                <w:bCs/>
                <w:szCs w:val="24"/>
              </w:rPr>
              <w:fldChar w:fldCharType="begin"/>
            </w:r>
            <w:r w:rsidRPr="003D68A6">
              <w:rPr>
                <w:b/>
                <w:bCs/>
                <w:sz w:val="20"/>
              </w:rPr>
              <w:instrText xml:space="preserve"> PAGE </w:instrText>
            </w:r>
            <w:r w:rsidRPr="003D68A6">
              <w:rPr>
                <w:b/>
                <w:bCs/>
                <w:szCs w:val="24"/>
              </w:rPr>
              <w:fldChar w:fldCharType="separate"/>
            </w:r>
            <w:r w:rsidRPr="003D68A6">
              <w:rPr>
                <w:b/>
                <w:bCs/>
                <w:noProof/>
                <w:sz w:val="20"/>
              </w:rPr>
              <w:t>2</w:t>
            </w:r>
            <w:r w:rsidRPr="003D68A6">
              <w:rPr>
                <w:b/>
                <w:bCs/>
                <w:szCs w:val="24"/>
              </w:rPr>
              <w:fldChar w:fldCharType="end"/>
            </w:r>
            <w:r w:rsidRPr="003D68A6">
              <w:rPr>
                <w:sz w:val="20"/>
              </w:rPr>
              <w:t xml:space="preserve"> of </w:t>
            </w:r>
            <w:r w:rsidRPr="003D68A6">
              <w:rPr>
                <w:b/>
                <w:bCs/>
                <w:szCs w:val="24"/>
              </w:rPr>
              <w:fldChar w:fldCharType="begin"/>
            </w:r>
            <w:r w:rsidRPr="003D68A6">
              <w:rPr>
                <w:b/>
                <w:bCs/>
                <w:sz w:val="20"/>
              </w:rPr>
              <w:instrText xml:space="preserve"> NUMPAGES  </w:instrText>
            </w:r>
            <w:r w:rsidRPr="003D68A6">
              <w:rPr>
                <w:b/>
                <w:bCs/>
                <w:szCs w:val="24"/>
              </w:rPr>
              <w:fldChar w:fldCharType="separate"/>
            </w:r>
            <w:r w:rsidRPr="003D68A6">
              <w:rPr>
                <w:b/>
                <w:bCs/>
                <w:noProof/>
                <w:sz w:val="20"/>
              </w:rPr>
              <w:t>2</w:t>
            </w:r>
            <w:r w:rsidRPr="003D68A6">
              <w:rPr>
                <w:b/>
                <w:bCs/>
                <w:szCs w:val="24"/>
              </w:rPr>
              <w:fldChar w:fldCharType="end"/>
            </w:r>
          </w:p>
        </w:sdtContent>
      </w:sdt>
    </w:sdtContent>
  </w:sdt>
  <w:p w14:paraId="1E279BB8" w14:textId="77777777" w:rsidR="00EF4E45" w:rsidRDefault="00EF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1025" w14:textId="77777777" w:rsidR="00811A1C" w:rsidRDefault="00811A1C" w:rsidP="00E25649">
      <w:pPr>
        <w:spacing w:after="0" w:line="240" w:lineRule="auto"/>
      </w:pPr>
      <w:r>
        <w:separator/>
      </w:r>
    </w:p>
  </w:footnote>
  <w:footnote w:type="continuationSeparator" w:id="0">
    <w:p w14:paraId="37B068C9" w14:textId="77777777" w:rsidR="00811A1C" w:rsidRDefault="00811A1C" w:rsidP="00E25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71319" w14:textId="77777777" w:rsidR="0002264D" w:rsidRDefault="0002264D" w:rsidP="0002264D">
    <w:pPr>
      <w:pStyle w:val="Header"/>
      <w:tabs>
        <w:tab w:val="clear" w:pos="4680"/>
        <w:tab w:val="right" w:pos="1440"/>
        <w:tab w:val="right" w:pos="8640"/>
      </w:tabs>
    </w:pPr>
    <w:r>
      <w:tab/>
    </w:r>
    <w:r>
      <w:rPr>
        <w:noProof/>
      </w:rPr>
      <w:drawing>
        <wp:inline distT="0" distB="0" distL="0" distR="0" wp14:anchorId="6A84702F" wp14:editId="189CA081">
          <wp:extent cx="1603362" cy="40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Cred_logo_ansi_affiliate_v2.png"/>
                  <pic:cNvPicPr/>
                </pic:nvPicPr>
                <pic:blipFill>
                  <a:blip r:embed="rId1">
                    <a:extLst>
                      <a:ext uri="{28A0092B-C50C-407E-A947-70E740481C1C}">
                        <a14:useLocalDpi xmlns:a14="http://schemas.microsoft.com/office/drawing/2010/main" val="0"/>
                      </a:ext>
                    </a:extLst>
                  </a:blip>
                  <a:stretch>
                    <a:fillRect/>
                  </a:stretch>
                </pic:blipFill>
                <pic:spPr>
                  <a:xfrm>
                    <a:off x="0" y="0"/>
                    <a:ext cx="1606263" cy="410316"/>
                  </a:xfrm>
                  <a:prstGeom prst="rect">
                    <a:avLst/>
                  </a:prstGeom>
                </pic:spPr>
              </pic:pic>
            </a:graphicData>
          </a:graphic>
        </wp:inline>
      </w:drawing>
    </w:r>
    <w:r>
      <w:tab/>
    </w:r>
    <w:r>
      <w:rPr>
        <w:noProof/>
      </w:rPr>
      <w:drawing>
        <wp:inline distT="0" distB="0" distL="0" distR="0" wp14:anchorId="619F5C21" wp14:editId="5C74736B">
          <wp:extent cx="960864"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earinghouse logo vertical.png"/>
                  <pic:cNvPicPr/>
                </pic:nvPicPr>
                <pic:blipFill>
                  <a:blip r:embed="rId2">
                    <a:extLst>
                      <a:ext uri="{28A0092B-C50C-407E-A947-70E740481C1C}">
                        <a14:useLocalDpi xmlns:a14="http://schemas.microsoft.com/office/drawing/2010/main" val="0"/>
                      </a:ext>
                    </a:extLst>
                  </a:blip>
                  <a:stretch>
                    <a:fillRect/>
                  </a:stretch>
                </pic:blipFill>
                <pic:spPr>
                  <a:xfrm>
                    <a:off x="0" y="0"/>
                    <a:ext cx="983122" cy="916090"/>
                  </a:xfrm>
                  <a:prstGeom prst="rect">
                    <a:avLst/>
                  </a:prstGeom>
                </pic:spPr>
              </pic:pic>
            </a:graphicData>
          </a:graphic>
        </wp:inline>
      </w:drawing>
    </w:r>
  </w:p>
  <w:p w14:paraId="40098392" w14:textId="4EC6B853" w:rsidR="007C3203" w:rsidRDefault="007C3203" w:rsidP="007C3203">
    <w:pPr>
      <w:pStyle w:val="Header"/>
      <w:tabs>
        <w:tab w:val="clear" w:pos="4680"/>
        <w:tab w:val="left" w:pos="64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0995"/>
    <w:multiLevelType w:val="hybridMultilevel"/>
    <w:tmpl w:val="91E692D4"/>
    <w:lvl w:ilvl="0" w:tplc="5C769AB0">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5517F7"/>
    <w:multiLevelType w:val="hybridMultilevel"/>
    <w:tmpl w:val="1924C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EF4AFE"/>
    <w:multiLevelType w:val="hybridMultilevel"/>
    <w:tmpl w:val="646CF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612A6F"/>
    <w:multiLevelType w:val="hybridMultilevel"/>
    <w:tmpl w:val="8AB842FA"/>
    <w:lvl w:ilvl="0" w:tplc="41E8F4F2">
      <w:start w:val="1"/>
      <w:numFmt w:val="decimal"/>
      <w:lvlText w:val="%1."/>
      <w:lvlJc w:val="left"/>
      <w:pPr>
        <w:ind w:left="1440" w:hanging="360"/>
      </w:pPr>
      <w:rPr>
        <w:rFonts w:hint="default"/>
        <w:color w:val="0070C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941"/>
    <w:rsid w:val="00020EF5"/>
    <w:rsid w:val="0002264D"/>
    <w:rsid w:val="00022674"/>
    <w:rsid w:val="00023D7E"/>
    <w:rsid w:val="000816AE"/>
    <w:rsid w:val="000D49FA"/>
    <w:rsid w:val="00117215"/>
    <w:rsid w:val="001405EE"/>
    <w:rsid w:val="001514B3"/>
    <w:rsid w:val="001C5D2B"/>
    <w:rsid w:val="001E4AE9"/>
    <w:rsid w:val="001F0B00"/>
    <w:rsid w:val="0022373F"/>
    <w:rsid w:val="0022461C"/>
    <w:rsid w:val="00251F9C"/>
    <w:rsid w:val="00284F3D"/>
    <w:rsid w:val="00300DC4"/>
    <w:rsid w:val="003055A0"/>
    <w:rsid w:val="00320D78"/>
    <w:rsid w:val="00327687"/>
    <w:rsid w:val="003325A4"/>
    <w:rsid w:val="00346948"/>
    <w:rsid w:val="00361C96"/>
    <w:rsid w:val="003D68A6"/>
    <w:rsid w:val="00400E4C"/>
    <w:rsid w:val="00447355"/>
    <w:rsid w:val="004A6391"/>
    <w:rsid w:val="004D4941"/>
    <w:rsid w:val="004D654A"/>
    <w:rsid w:val="004F0FF5"/>
    <w:rsid w:val="005069A2"/>
    <w:rsid w:val="00572F09"/>
    <w:rsid w:val="005878F1"/>
    <w:rsid w:val="005D5C5B"/>
    <w:rsid w:val="00690B01"/>
    <w:rsid w:val="006924E3"/>
    <w:rsid w:val="00693773"/>
    <w:rsid w:val="00770A5A"/>
    <w:rsid w:val="0078473E"/>
    <w:rsid w:val="007B29CE"/>
    <w:rsid w:val="007C3203"/>
    <w:rsid w:val="00811A1C"/>
    <w:rsid w:val="00817D83"/>
    <w:rsid w:val="00847549"/>
    <w:rsid w:val="0086713B"/>
    <w:rsid w:val="008A7EA2"/>
    <w:rsid w:val="008E2B06"/>
    <w:rsid w:val="009377A7"/>
    <w:rsid w:val="00937FF1"/>
    <w:rsid w:val="009544AB"/>
    <w:rsid w:val="00972DCD"/>
    <w:rsid w:val="009756B5"/>
    <w:rsid w:val="0098024F"/>
    <w:rsid w:val="009A6F88"/>
    <w:rsid w:val="009D4307"/>
    <w:rsid w:val="00A21CC6"/>
    <w:rsid w:val="00A52BBD"/>
    <w:rsid w:val="00A61B7C"/>
    <w:rsid w:val="00B57A12"/>
    <w:rsid w:val="00BE26E5"/>
    <w:rsid w:val="00C37A65"/>
    <w:rsid w:val="00C83BFD"/>
    <w:rsid w:val="00C8412E"/>
    <w:rsid w:val="00CC3B2D"/>
    <w:rsid w:val="00CD09F2"/>
    <w:rsid w:val="00CE363B"/>
    <w:rsid w:val="00CF681E"/>
    <w:rsid w:val="00D50144"/>
    <w:rsid w:val="00D76B7E"/>
    <w:rsid w:val="00DD744B"/>
    <w:rsid w:val="00DE00BF"/>
    <w:rsid w:val="00DE4C53"/>
    <w:rsid w:val="00DE73EB"/>
    <w:rsid w:val="00E16248"/>
    <w:rsid w:val="00E25649"/>
    <w:rsid w:val="00E34E14"/>
    <w:rsid w:val="00E351F0"/>
    <w:rsid w:val="00E422BE"/>
    <w:rsid w:val="00EB09A0"/>
    <w:rsid w:val="00EE3F14"/>
    <w:rsid w:val="00EF4E45"/>
    <w:rsid w:val="00EF4EFD"/>
    <w:rsid w:val="00F060E1"/>
    <w:rsid w:val="00F71E7C"/>
    <w:rsid w:val="00F75FC0"/>
    <w:rsid w:val="00F96CF1"/>
    <w:rsid w:val="00FF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BC529E"/>
  <w15:chartTrackingRefBased/>
  <w15:docId w15:val="{CDAE94F3-1AF1-433E-B4BC-9D568F93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E4C5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E25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649"/>
  </w:style>
  <w:style w:type="paragraph" w:styleId="Footer">
    <w:name w:val="footer"/>
    <w:basedOn w:val="Normal"/>
    <w:link w:val="FooterChar"/>
    <w:uiPriority w:val="99"/>
    <w:unhideWhenUsed/>
    <w:rsid w:val="00E25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649"/>
  </w:style>
  <w:style w:type="character" w:styleId="Strong">
    <w:name w:val="Strong"/>
    <w:basedOn w:val="DefaultParagraphFont"/>
    <w:uiPriority w:val="22"/>
    <w:qFormat/>
    <w:rsid w:val="00E25649"/>
    <w:rPr>
      <w:b/>
      <w:bCs/>
    </w:rPr>
  </w:style>
  <w:style w:type="character" w:styleId="CommentReference">
    <w:name w:val="annotation reference"/>
    <w:basedOn w:val="DefaultParagraphFont"/>
    <w:uiPriority w:val="99"/>
    <w:semiHidden/>
    <w:unhideWhenUsed/>
    <w:rsid w:val="0098024F"/>
    <w:rPr>
      <w:sz w:val="16"/>
      <w:szCs w:val="16"/>
    </w:rPr>
  </w:style>
  <w:style w:type="paragraph" w:styleId="CommentText">
    <w:name w:val="annotation text"/>
    <w:basedOn w:val="Normal"/>
    <w:link w:val="CommentTextChar"/>
    <w:uiPriority w:val="99"/>
    <w:semiHidden/>
    <w:unhideWhenUsed/>
    <w:rsid w:val="0098024F"/>
    <w:pPr>
      <w:spacing w:line="240" w:lineRule="auto"/>
    </w:pPr>
    <w:rPr>
      <w:sz w:val="20"/>
      <w:szCs w:val="20"/>
    </w:rPr>
  </w:style>
  <w:style w:type="character" w:customStyle="1" w:styleId="CommentTextChar">
    <w:name w:val="Comment Text Char"/>
    <w:basedOn w:val="DefaultParagraphFont"/>
    <w:link w:val="CommentText"/>
    <w:uiPriority w:val="99"/>
    <w:semiHidden/>
    <w:rsid w:val="0098024F"/>
    <w:rPr>
      <w:sz w:val="20"/>
      <w:szCs w:val="20"/>
    </w:rPr>
  </w:style>
  <w:style w:type="paragraph" w:styleId="CommentSubject">
    <w:name w:val="annotation subject"/>
    <w:basedOn w:val="CommentText"/>
    <w:next w:val="CommentText"/>
    <w:link w:val="CommentSubjectChar"/>
    <w:uiPriority w:val="99"/>
    <w:semiHidden/>
    <w:unhideWhenUsed/>
    <w:rsid w:val="0098024F"/>
    <w:rPr>
      <w:b/>
      <w:bCs/>
    </w:rPr>
  </w:style>
  <w:style w:type="character" w:customStyle="1" w:styleId="CommentSubjectChar">
    <w:name w:val="Comment Subject Char"/>
    <w:basedOn w:val="CommentTextChar"/>
    <w:link w:val="CommentSubject"/>
    <w:uiPriority w:val="99"/>
    <w:semiHidden/>
    <w:rsid w:val="0098024F"/>
    <w:rPr>
      <w:b/>
      <w:bCs/>
      <w:sz w:val="20"/>
      <w:szCs w:val="20"/>
    </w:rPr>
  </w:style>
  <w:style w:type="paragraph" w:styleId="BalloonText">
    <w:name w:val="Balloon Text"/>
    <w:basedOn w:val="Normal"/>
    <w:link w:val="BalloonTextChar"/>
    <w:uiPriority w:val="99"/>
    <w:semiHidden/>
    <w:unhideWhenUsed/>
    <w:rsid w:val="00F71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E7C"/>
    <w:rPr>
      <w:rFonts w:ascii="Segoe UI" w:hAnsi="Segoe UI" w:cs="Segoe UI"/>
      <w:sz w:val="18"/>
      <w:szCs w:val="18"/>
    </w:rPr>
  </w:style>
  <w:style w:type="paragraph" w:styleId="Revision">
    <w:name w:val="Revision"/>
    <w:hidden/>
    <w:uiPriority w:val="99"/>
    <w:semiHidden/>
    <w:rsid w:val="003055A0"/>
    <w:pPr>
      <w:spacing w:after="0" w:line="240" w:lineRule="auto"/>
    </w:pPr>
  </w:style>
  <w:style w:type="paragraph" w:styleId="BodyText">
    <w:name w:val="Body Text"/>
    <w:basedOn w:val="Normal"/>
    <w:link w:val="BodyTextChar"/>
    <w:uiPriority w:val="1"/>
    <w:qFormat/>
    <w:rsid w:val="00F96CF1"/>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96CF1"/>
    <w:rPr>
      <w:rFonts w:ascii="Calibri" w:eastAsia="Calibri" w:hAnsi="Calibri" w:cs="Calibri"/>
      <w:sz w:val="24"/>
      <w:szCs w:val="24"/>
    </w:rPr>
  </w:style>
  <w:style w:type="paragraph" w:styleId="NormalWeb">
    <w:name w:val="Normal (Web)"/>
    <w:basedOn w:val="Normal"/>
    <w:uiPriority w:val="99"/>
    <w:semiHidden/>
    <w:unhideWhenUsed/>
    <w:rsid w:val="008E2B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09A0"/>
    <w:rPr>
      <w:color w:val="0563C1" w:themeColor="hyperlink"/>
      <w:u w:val="single"/>
    </w:rPr>
  </w:style>
  <w:style w:type="character" w:styleId="FollowedHyperlink">
    <w:name w:val="FollowedHyperlink"/>
    <w:basedOn w:val="DefaultParagraphFont"/>
    <w:uiPriority w:val="99"/>
    <w:semiHidden/>
    <w:unhideWhenUsed/>
    <w:rsid w:val="00A52BBD"/>
    <w:rPr>
      <w:color w:val="954F72" w:themeColor="followedHyperlink"/>
      <w:u w:val="single"/>
    </w:rPr>
  </w:style>
  <w:style w:type="character" w:styleId="UnresolvedMention">
    <w:name w:val="Unresolved Mention"/>
    <w:basedOn w:val="DefaultParagraphFont"/>
    <w:uiPriority w:val="99"/>
    <w:semiHidden/>
    <w:unhideWhenUsed/>
    <w:rsid w:val="00A52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4723">
      <w:bodyDiv w:val="1"/>
      <w:marLeft w:val="0"/>
      <w:marRight w:val="0"/>
      <w:marTop w:val="0"/>
      <w:marBottom w:val="0"/>
      <w:divBdr>
        <w:top w:val="none" w:sz="0" w:space="0" w:color="auto"/>
        <w:left w:val="none" w:sz="0" w:space="0" w:color="auto"/>
        <w:bottom w:val="none" w:sz="0" w:space="0" w:color="auto"/>
        <w:right w:val="none" w:sz="0" w:space="0" w:color="auto"/>
      </w:divBdr>
    </w:div>
    <w:div w:id="338898459">
      <w:bodyDiv w:val="1"/>
      <w:marLeft w:val="0"/>
      <w:marRight w:val="0"/>
      <w:marTop w:val="0"/>
      <w:marBottom w:val="0"/>
      <w:divBdr>
        <w:top w:val="none" w:sz="0" w:space="0" w:color="auto"/>
        <w:left w:val="none" w:sz="0" w:space="0" w:color="auto"/>
        <w:bottom w:val="none" w:sz="0" w:space="0" w:color="auto"/>
        <w:right w:val="none" w:sz="0" w:space="0" w:color="auto"/>
      </w:divBdr>
    </w:div>
    <w:div w:id="459960524">
      <w:bodyDiv w:val="1"/>
      <w:marLeft w:val="0"/>
      <w:marRight w:val="0"/>
      <w:marTop w:val="0"/>
      <w:marBottom w:val="0"/>
      <w:divBdr>
        <w:top w:val="none" w:sz="0" w:space="0" w:color="auto"/>
        <w:left w:val="none" w:sz="0" w:space="0" w:color="auto"/>
        <w:bottom w:val="none" w:sz="0" w:space="0" w:color="auto"/>
        <w:right w:val="none" w:sz="0" w:space="0" w:color="auto"/>
      </w:divBdr>
    </w:div>
    <w:div w:id="489370751">
      <w:bodyDiv w:val="1"/>
      <w:marLeft w:val="0"/>
      <w:marRight w:val="0"/>
      <w:marTop w:val="0"/>
      <w:marBottom w:val="0"/>
      <w:divBdr>
        <w:top w:val="none" w:sz="0" w:space="0" w:color="auto"/>
        <w:left w:val="none" w:sz="0" w:space="0" w:color="auto"/>
        <w:bottom w:val="none" w:sz="0" w:space="0" w:color="auto"/>
        <w:right w:val="none" w:sz="0" w:space="0" w:color="auto"/>
      </w:divBdr>
    </w:div>
    <w:div w:id="594902690">
      <w:bodyDiv w:val="1"/>
      <w:marLeft w:val="0"/>
      <w:marRight w:val="0"/>
      <w:marTop w:val="0"/>
      <w:marBottom w:val="0"/>
      <w:divBdr>
        <w:top w:val="none" w:sz="0" w:space="0" w:color="auto"/>
        <w:left w:val="none" w:sz="0" w:space="0" w:color="auto"/>
        <w:bottom w:val="none" w:sz="0" w:space="0" w:color="auto"/>
        <w:right w:val="none" w:sz="0" w:space="0" w:color="auto"/>
      </w:divBdr>
    </w:div>
    <w:div w:id="624121731">
      <w:bodyDiv w:val="1"/>
      <w:marLeft w:val="0"/>
      <w:marRight w:val="0"/>
      <w:marTop w:val="0"/>
      <w:marBottom w:val="0"/>
      <w:divBdr>
        <w:top w:val="none" w:sz="0" w:space="0" w:color="auto"/>
        <w:left w:val="none" w:sz="0" w:space="0" w:color="auto"/>
        <w:bottom w:val="none" w:sz="0" w:space="0" w:color="auto"/>
        <w:right w:val="none" w:sz="0" w:space="0" w:color="auto"/>
      </w:divBdr>
    </w:div>
    <w:div w:id="926305543">
      <w:bodyDiv w:val="1"/>
      <w:marLeft w:val="0"/>
      <w:marRight w:val="0"/>
      <w:marTop w:val="0"/>
      <w:marBottom w:val="0"/>
      <w:divBdr>
        <w:top w:val="none" w:sz="0" w:space="0" w:color="auto"/>
        <w:left w:val="none" w:sz="0" w:space="0" w:color="auto"/>
        <w:bottom w:val="none" w:sz="0" w:space="0" w:color="auto"/>
        <w:right w:val="none" w:sz="0" w:space="0" w:color="auto"/>
      </w:divBdr>
    </w:div>
    <w:div w:id="978265661">
      <w:bodyDiv w:val="1"/>
      <w:marLeft w:val="0"/>
      <w:marRight w:val="0"/>
      <w:marTop w:val="0"/>
      <w:marBottom w:val="0"/>
      <w:divBdr>
        <w:top w:val="none" w:sz="0" w:space="0" w:color="auto"/>
        <w:left w:val="none" w:sz="0" w:space="0" w:color="auto"/>
        <w:bottom w:val="none" w:sz="0" w:space="0" w:color="auto"/>
        <w:right w:val="none" w:sz="0" w:space="0" w:color="auto"/>
      </w:divBdr>
    </w:div>
    <w:div w:id="1065178035">
      <w:bodyDiv w:val="1"/>
      <w:marLeft w:val="0"/>
      <w:marRight w:val="0"/>
      <w:marTop w:val="0"/>
      <w:marBottom w:val="0"/>
      <w:divBdr>
        <w:top w:val="none" w:sz="0" w:space="0" w:color="auto"/>
        <w:left w:val="none" w:sz="0" w:space="0" w:color="auto"/>
        <w:bottom w:val="none" w:sz="0" w:space="0" w:color="auto"/>
        <w:right w:val="none" w:sz="0" w:space="0" w:color="auto"/>
      </w:divBdr>
    </w:div>
    <w:div w:id="1086420933">
      <w:bodyDiv w:val="1"/>
      <w:marLeft w:val="0"/>
      <w:marRight w:val="0"/>
      <w:marTop w:val="0"/>
      <w:marBottom w:val="0"/>
      <w:divBdr>
        <w:top w:val="none" w:sz="0" w:space="0" w:color="auto"/>
        <w:left w:val="none" w:sz="0" w:space="0" w:color="auto"/>
        <w:bottom w:val="none" w:sz="0" w:space="0" w:color="auto"/>
        <w:right w:val="none" w:sz="0" w:space="0" w:color="auto"/>
      </w:divBdr>
    </w:div>
    <w:div w:id="1127940736">
      <w:bodyDiv w:val="1"/>
      <w:marLeft w:val="0"/>
      <w:marRight w:val="0"/>
      <w:marTop w:val="0"/>
      <w:marBottom w:val="0"/>
      <w:divBdr>
        <w:top w:val="none" w:sz="0" w:space="0" w:color="auto"/>
        <w:left w:val="none" w:sz="0" w:space="0" w:color="auto"/>
        <w:bottom w:val="none" w:sz="0" w:space="0" w:color="auto"/>
        <w:right w:val="none" w:sz="0" w:space="0" w:color="auto"/>
      </w:divBdr>
    </w:div>
    <w:div w:id="1200170661">
      <w:bodyDiv w:val="1"/>
      <w:marLeft w:val="0"/>
      <w:marRight w:val="0"/>
      <w:marTop w:val="0"/>
      <w:marBottom w:val="0"/>
      <w:divBdr>
        <w:top w:val="none" w:sz="0" w:space="0" w:color="auto"/>
        <w:left w:val="none" w:sz="0" w:space="0" w:color="auto"/>
        <w:bottom w:val="none" w:sz="0" w:space="0" w:color="auto"/>
        <w:right w:val="none" w:sz="0" w:space="0" w:color="auto"/>
      </w:divBdr>
    </w:div>
    <w:div w:id="1206991267">
      <w:bodyDiv w:val="1"/>
      <w:marLeft w:val="0"/>
      <w:marRight w:val="0"/>
      <w:marTop w:val="0"/>
      <w:marBottom w:val="0"/>
      <w:divBdr>
        <w:top w:val="none" w:sz="0" w:space="0" w:color="auto"/>
        <w:left w:val="none" w:sz="0" w:space="0" w:color="auto"/>
        <w:bottom w:val="none" w:sz="0" w:space="0" w:color="auto"/>
        <w:right w:val="none" w:sz="0" w:space="0" w:color="auto"/>
      </w:divBdr>
    </w:div>
    <w:div w:id="1296910620">
      <w:bodyDiv w:val="1"/>
      <w:marLeft w:val="0"/>
      <w:marRight w:val="0"/>
      <w:marTop w:val="0"/>
      <w:marBottom w:val="0"/>
      <w:divBdr>
        <w:top w:val="none" w:sz="0" w:space="0" w:color="auto"/>
        <w:left w:val="none" w:sz="0" w:space="0" w:color="auto"/>
        <w:bottom w:val="none" w:sz="0" w:space="0" w:color="auto"/>
        <w:right w:val="none" w:sz="0" w:space="0" w:color="auto"/>
      </w:divBdr>
    </w:div>
    <w:div w:id="1383366523">
      <w:bodyDiv w:val="1"/>
      <w:marLeft w:val="0"/>
      <w:marRight w:val="0"/>
      <w:marTop w:val="0"/>
      <w:marBottom w:val="0"/>
      <w:divBdr>
        <w:top w:val="none" w:sz="0" w:space="0" w:color="auto"/>
        <w:left w:val="none" w:sz="0" w:space="0" w:color="auto"/>
        <w:bottom w:val="none" w:sz="0" w:space="0" w:color="auto"/>
        <w:right w:val="none" w:sz="0" w:space="0" w:color="auto"/>
      </w:divBdr>
    </w:div>
    <w:div w:id="1506169248">
      <w:bodyDiv w:val="1"/>
      <w:marLeft w:val="0"/>
      <w:marRight w:val="0"/>
      <w:marTop w:val="0"/>
      <w:marBottom w:val="0"/>
      <w:divBdr>
        <w:top w:val="none" w:sz="0" w:space="0" w:color="auto"/>
        <w:left w:val="none" w:sz="0" w:space="0" w:color="auto"/>
        <w:bottom w:val="none" w:sz="0" w:space="0" w:color="auto"/>
        <w:right w:val="none" w:sz="0" w:space="0" w:color="auto"/>
      </w:divBdr>
    </w:div>
    <w:div w:id="1720662082">
      <w:bodyDiv w:val="1"/>
      <w:marLeft w:val="0"/>
      <w:marRight w:val="0"/>
      <w:marTop w:val="0"/>
      <w:marBottom w:val="0"/>
      <w:divBdr>
        <w:top w:val="none" w:sz="0" w:space="0" w:color="auto"/>
        <w:left w:val="none" w:sz="0" w:space="0" w:color="auto"/>
        <w:bottom w:val="none" w:sz="0" w:space="0" w:color="auto"/>
        <w:right w:val="none" w:sz="0" w:space="0" w:color="auto"/>
      </w:divBdr>
    </w:div>
    <w:div w:id="1742558119">
      <w:bodyDiv w:val="1"/>
      <w:marLeft w:val="0"/>
      <w:marRight w:val="0"/>
      <w:marTop w:val="0"/>
      <w:marBottom w:val="0"/>
      <w:divBdr>
        <w:top w:val="none" w:sz="0" w:space="0" w:color="auto"/>
        <w:left w:val="none" w:sz="0" w:space="0" w:color="auto"/>
        <w:bottom w:val="none" w:sz="0" w:space="0" w:color="auto"/>
        <w:right w:val="none" w:sz="0" w:space="0" w:color="auto"/>
      </w:divBdr>
    </w:div>
    <w:div w:id="1981835810">
      <w:bodyDiv w:val="1"/>
      <w:marLeft w:val="0"/>
      <w:marRight w:val="0"/>
      <w:marTop w:val="0"/>
      <w:marBottom w:val="0"/>
      <w:divBdr>
        <w:top w:val="none" w:sz="0" w:space="0" w:color="auto"/>
        <w:left w:val="none" w:sz="0" w:space="0" w:color="auto"/>
        <w:bottom w:val="none" w:sz="0" w:space="0" w:color="auto"/>
        <w:right w:val="none" w:sz="0" w:space="0" w:color="auto"/>
      </w:divBdr>
    </w:div>
    <w:div w:id="204605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dataprinciples.org/" TargetMode="External"/><Relationship Id="rId13" Type="http://schemas.openxmlformats.org/officeDocument/2006/relationships/hyperlink" Target="https://www.studentclearinghouse.org/workforce/industry-credential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tudentprivacypledge.org/privacy-pledge/" TargetMode="External"/><Relationship Id="rId12" Type="http://schemas.openxmlformats.org/officeDocument/2006/relationships/hyperlink" Target="https://studentclearinghouse.info/onestop/wp-content/uploads/IndustryCredentials_ImplementationGuide.pdf" TargetMode="External"/><Relationship Id="rId17" Type="http://schemas.openxmlformats.org/officeDocument/2006/relationships/hyperlink" Target="mailto:buckley@studentclearinghouse.org" TargetMode="Externa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mailto:kelzey@workcred.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dustrycredentials@studentclearinghouse.org"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nscverifications.org/degreeverify/" TargetMode="External"/><Relationship Id="rId23" Type="http://schemas.openxmlformats.org/officeDocument/2006/relationships/customXml" Target="../customXml/item2.xml"/><Relationship Id="rId10" Type="http://schemas.openxmlformats.org/officeDocument/2006/relationships/hyperlink" Target="https://www.studentclearinghouse.org/about/our-privacy-commitme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alserver.trustwave.com/cert.php?customerId=w6ordzWietNVpWYZrnaQ7dOFgYY8Ww&amp;size=105x54&amp;style=invert" TargetMode="External"/><Relationship Id="rId14" Type="http://schemas.openxmlformats.org/officeDocument/2006/relationships/hyperlink" Target="https://www.studentclearinghouse.info/onestop/wp-content/uploads/IndustryCredentialsWhitepaper.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EE804E1C14D14F8D4B8C5D85427087" ma:contentTypeVersion="2" ma:contentTypeDescription="Create a new document." ma:contentTypeScope="" ma:versionID="35e964b4c18d1585f30f2870233b71df">
  <xsd:schema xmlns:xsd="http://www.w3.org/2001/XMLSchema" xmlns:xs="http://www.w3.org/2001/XMLSchema" xmlns:p="http://schemas.microsoft.com/office/2006/metadata/properties" xmlns:ns2="bbd4acb0-43d6-4317-ab0b-803dc468f016" xmlns:ns3="c690c3f2-e6ca-4518-9654-6188528c0789" targetNamespace="http://schemas.microsoft.com/office/2006/metadata/properties" ma:root="true" ma:fieldsID="f1326a77bc738bbef12d161348ee1009" ns2:_="" ns3:_="">
    <xsd:import namespace="bbd4acb0-43d6-4317-ab0b-803dc468f016"/>
    <xsd:import namespace="c690c3f2-e6ca-4518-9654-6188528c0789"/>
    <xsd:element name="properties">
      <xsd:complexType>
        <xsd:sequence>
          <xsd:element name="documentManagement">
            <xsd:complexType>
              <xsd:all>
                <xsd:element ref="ns2:_dlc_DocId" minOccurs="0"/>
                <xsd:element ref="ns2:_dlc_DocIdUrl" minOccurs="0"/>
                <xsd:element ref="ns2:_dlc_DocIdPersistId" minOccurs="0"/>
                <xsd:element ref="ns3:Workcred_x0020_Group"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90c3f2-e6ca-4518-9654-6188528c0789" elementFormDefault="qualified">
    <xsd:import namespace="http://schemas.microsoft.com/office/2006/documentManagement/types"/>
    <xsd:import namespace="http://schemas.microsoft.com/office/infopath/2007/PartnerControls"/>
    <xsd:element name="Workcred_x0020_Group" ma:index="11" nillable="true" ma:displayName="Workcred Group" ma:format="Dropdown" ma:internalName="Workcred_x0020_Group">
      <xsd:simpleType>
        <xsd:restriction base="dms:Choice">
          <xsd:enumeration value="Government Credentialing Network"/>
          <xsd:enumeration value="Executive Advisory Council"/>
          <xsd:enumeration value="Research Advisory Council"/>
          <xsd:enumeration value="Credentialing Body Advisory Council"/>
          <xsd:enumeration value="General"/>
        </xsd:restriction>
      </xsd:simpleType>
    </xsd:element>
    <xsd:element name="Meeting_x0020_Date" ma:index="12"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5CD55462DBACFA4E8A676F062677425D" ma:contentTypeVersion="10" ma:contentTypeDescription="Create a new document." ma:contentTypeScope="" ma:versionID="fb6218331353cae619bb6363dd248a00">
  <xsd:schema xmlns:xsd="http://www.w3.org/2001/XMLSchema" xmlns:xs="http://www.w3.org/2001/XMLSchema" xmlns:p="http://schemas.microsoft.com/office/2006/metadata/properties" xmlns:ns2="e58fa966-024c-470a-aae1-bbb0067996d6" targetNamespace="http://schemas.microsoft.com/office/2006/metadata/properties" ma:root="true" ma:fieldsID="095e945631d94293f8374007bbad5b4e" ns2:_="">
    <xsd:import namespace="e58fa966-024c-470a-aae1-bbb0067996d6"/>
    <xsd:element name="properties">
      <xsd:complexType>
        <xsd:sequence>
          <xsd:element name="documentManagement">
            <xsd:complexType>
              <xsd:all>
                <xsd:element ref="ns2:Workcred_x0020_Group"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fa966-024c-470a-aae1-bbb0067996d6" elementFormDefault="qualified">
    <xsd:import namespace="http://schemas.microsoft.com/office/2006/documentManagement/types"/>
    <xsd:import namespace="http://schemas.microsoft.com/office/infopath/2007/PartnerControls"/>
    <xsd:element name="Workcred_x0020_Group" ma:index="4" nillable="true" ma:displayName="Workcred Group" ma:format="Dropdown" ma:internalName="Workcred_x0020_Group" ma:readOnly="false">
      <xsd:simpleType>
        <xsd:restriction base="dms:Choice">
          <xsd:enumeration value="Government Credentialing Network"/>
          <xsd:enumeration value="Executive Advisory Council"/>
          <xsd:enumeration value="Research Advisory Council"/>
          <xsd:enumeration value="Credentialing Body Advisory Council"/>
          <xsd:enumeration value="General"/>
        </xsd:restriction>
      </xsd:simpleType>
    </xsd:element>
    <xsd:element name="Meeting_x0020_Date" ma:index="5" nillable="true" ma:displayName="Meeting Date" ma:format="DateOnly" ma:internalName="Meeting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orkcred_x0020_Group xmlns="e58fa966-024c-470a-aae1-bbb0067996d6" xsi:nil="true"/>
    <Meeting_x0020_Date xmlns="e58fa966-024c-470a-aae1-bbb0067996d6" xsi:nil="true"/>
  </documentManagement>
</p:properties>
</file>

<file path=customXml/itemProps1.xml><?xml version="1.0" encoding="utf-8"?>
<ds:datastoreItem xmlns:ds="http://schemas.openxmlformats.org/officeDocument/2006/customXml" ds:itemID="{04141F5C-B34F-44B9-8297-091BA25D9429}"/>
</file>

<file path=customXml/itemProps2.xml><?xml version="1.0" encoding="utf-8"?>
<ds:datastoreItem xmlns:ds="http://schemas.openxmlformats.org/officeDocument/2006/customXml" ds:itemID="{5D976A0E-759F-4FE0-A6D9-F41F2D21156E}"/>
</file>

<file path=customXml/itemProps3.xml><?xml version="1.0" encoding="utf-8"?>
<ds:datastoreItem xmlns:ds="http://schemas.openxmlformats.org/officeDocument/2006/customXml" ds:itemID="{83315ED9-F20B-48C3-B1F4-C52E735C34D4}"/>
</file>

<file path=customXml/itemProps4.xml><?xml version="1.0" encoding="utf-8"?>
<ds:datastoreItem xmlns:ds="http://schemas.openxmlformats.org/officeDocument/2006/customXml" ds:itemID="{68346DC2-3E97-49CF-955C-F2C3F92080B7}"/>
</file>

<file path=docProps/app.xml><?xml version="1.0" encoding="utf-8"?>
<Properties xmlns="http://schemas.openxmlformats.org/officeDocument/2006/extended-properties" xmlns:vt="http://schemas.openxmlformats.org/officeDocument/2006/docPropsVTypes">
  <Template>Normal.dotm</Template>
  <TotalTime>0</TotalTime>
  <Pages>5</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Elzey</dc:creator>
  <cp:keywords/>
  <dc:description/>
  <cp:lastModifiedBy>Karen  Elzey</cp:lastModifiedBy>
  <cp:revision>2</cp:revision>
  <dcterms:created xsi:type="dcterms:W3CDTF">2022-06-23T19:57:00Z</dcterms:created>
  <dcterms:modified xsi:type="dcterms:W3CDTF">2022-06-23T19:57:00Z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0x0101005CD55462DBACFA4E8A676F062677425D</vt:lpwstr>
  </property>
  <property fmtid="{D5CDD505-2E9C-101B-9397-08002B2CF9AE}" pid="3" name="_dlc_DocIdItemGuid">
    <vt:lpwstr>574c0eb6-2d33-44fb-ae7b-b0c08446f5f4</vt:lpwstr>
  </property>
</Properties>
</file>