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D6A" w:rsidRDefault="00FA4D6A" w:rsidP="00FA4D6A">
      <w:pPr>
        <w:rPr>
          <w:sz w:val="22"/>
          <w:szCs w:val="22"/>
        </w:rPr>
      </w:pPr>
    </w:p>
    <w:p w:rsidR="00FA4D6A" w:rsidRDefault="00FA4D6A" w:rsidP="00FA4D6A">
      <w:pPr>
        <w:outlineLvl w:val="0"/>
        <w:rPr>
          <w:rFonts w:ascii="Calibri" w:hAnsi="Calibri" w:cs="Calibri"/>
          <w:sz w:val="22"/>
          <w:szCs w:val="22"/>
        </w:rPr>
      </w:pPr>
      <w:r>
        <w:rPr>
          <w:rFonts w:ascii="Calibri" w:hAnsi="Calibri" w:cs="Calibri"/>
          <w:b/>
          <w:bCs/>
          <w:sz w:val="22"/>
          <w:szCs w:val="22"/>
        </w:rPr>
        <w:t>From:</w:t>
      </w:r>
      <w:r>
        <w:rPr>
          <w:rFonts w:ascii="Calibri" w:hAnsi="Calibri" w:cs="Calibri"/>
          <w:sz w:val="22"/>
          <w:szCs w:val="22"/>
        </w:rPr>
        <w:t xml:space="preserve"> GTW &lt;</w:t>
      </w:r>
      <w:proofErr w:type="spellStart"/>
      <w:r>
        <w:rPr>
          <w:rFonts w:ascii="Calibri" w:hAnsi="Calibri" w:cs="Calibri"/>
          <w:sz w:val="22"/>
          <w:szCs w:val="22"/>
        </w:rPr>
        <w:fldChar w:fldCharType="begin"/>
      </w:r>
      <w:r>
        <w:rPr>
          <w:rFonts w:ascii="Calibri" w:hAnsi="Calibri" w:cs="Calibri"/>
          <w:sz w:val="22"/>
          <w:szCs w:val="22"/>
        </w:rPr>
        <w:instrText xml:space="preserve"> HYPERLINK "mailto:gtw@gtwassociates.com" </w:instrText>
      </w:r>
      <w:r>
        <w:rPr>
          <w:rFonts w:ascii="Calibri" w:hAnsi="Calibri" w:cs="Calibri"/>
          <w:sz w:val="22"/>
          <w:szCs w:val="22"/>
        </w:rPr>
        <w:fldChar w:fldCharType="separate"/>
      </w:r>
      <w:r>
        <w:rPr>
          <w:rStyle w:val="Hyperlink"/>
          <w:rFonts w:ascii="Calibri" w:hAnsi="Calibri" w:cs="Calibri"/>
          <w:sz w:val="22"/>
          <w:szCs w:val="22"/>
        </w:rPr>
        <w:t>gtw@gtwassociates.com</w:t>
      </w:r>
      <w:proofErr w:type="spellEnd"/>
      <w:r>
        <w:rPr>
          <w:rFonts w:ascii="Calibri" w:hAnsi="Calibri" w:cs="Calibri"/>
          <w:sz w:val="22"/>
          <w:szCs w:val="22"/>
        </w:rPr>
        <w:fldChar w:fldCharType="end"/>
      </w:r>
      <w:r>
        <w:rPr>
          <w:rFonts w:ascii="Calibri" w:hAnsi="Calibri" w:cs="Calibri"/>
          <w:sz w:val="22"/>
          <w:szCs w:val="22"/>
        </w:rPr>
        <w:t xml:space="preserve">&gt; </w:t>
      </w:r>
      <w:r>
        <w:rPr>
          <w:rFonts w:ascii="Calibri" w:hAnsi="Calibri" w:cs="Calibri"/>
          <w:sz w:val="22"/>
          <w:szCs w:val="22"/>
        </w:rPr>
        <w:br/>
      </w:r>
      <w:r>
        <w:rPr>
          <w:rFonts w:ascii="Calibri" w:hAnsi="Calibri" w:cs="Calibri"/>
          <w:b/>
          <w:bCs/>
          <w:sz w:val="22"/>
          <w:szCs w:val="22"/>
        </w:rPr>
        <w:t>Sent:</w:t>
      </w:r>
      <w:r>
        <w:rPr>
          <w:rFonts w:ascii="Calibri" w:hAnsi="Calibri" w:cs="Calibri"/>
          <w:sz w:val="22"/>
          <w:szCs w:val="22"/>
        </w:rPr>
        <w:t xml:space="preserve"> Friday, April 12, 2019 1:22 PM</w:t>
      </w:r>
      <w:r>
        <w:rPr>
          <w:rFonts w:ascii="Calibri" w:hAnsi="Calibri" w:cs="Calibri"/>
          <w:sz w:val="22"/>
          <w:szCs w:val="22"/>
        </w:rPr>
        <w:br/>
      </w:r>
      <w:r>
        <w:rPr>
          <w:rFonts w:ascii="Calibri" w:hAnsi="Calibri" w:cs="Calibri"/>
          <w:b/>
          <w:bCs/>
          <w:sz w:val="22"/>
          <w:szCs w:val="22"/>
        </w:rPr>
        <w:t>To:</w:t>
      </w:r>
      <w:r>
        <w:rPr>
          <w:rFonts w:ascii="Calibri" w:hAnsi="Calibri" w:cs="Calibri"/>
          <w:sz w:val="22"/>
          <w:szCs w:val="22"/>
        </w:rPr>
        <w:t xml:space="preserve"> PSA Department &lt;</w:t>
      </w:r>
      <w:hyperlink r:id="rId6" w:history="1">
        <w:r>
          <w:rPr>
            <w:rStyle w:val="Hyperlink"/>
            <w:rFonts w:ascii="Calibri" w:hAnsi="Calibri" w:cs="Calibri"/>
            <w:sz w:val="22"/>
            <w:szCs w:val="22"/>
          </w:rPr>
          <w:t>PSA@ansi.org</w:t>
        </w:r>
      </w:hyperlink>
      <w:r>
        <w:rPr>
          <w:rFonts w:ascii="Calibri" w:hAnsi="Calibri" w:cs="Calibri"/>
          <w:sz w:val="22"/>
          <w:szCs w:val="22"/>
        </w:rPr>
        <w:t>&gt;</w:t>
      </w:r>
      <w:r>
        <w:rPr>
          <w:rFonts w:ascii="Calibri" w:hAnsi="Calibri" w:cs="Calibri"/>
          <w:sz w:val="22"/>
          <w:szCs w:val="22"/>
        </w:rPr>
        <w:br/>
      </w:r>
      <w:r>
        <w:rPr>
          <w:rFonts w:ascii="Calibri" w:hAnsi="Calibri" w:cs="Calibri"/>
          <w:b/>
          <w:bCs/>
          <w:sz w:val="22"/>
          <w:szCs w:val="22"/>
        </w:rPr>
        <w:t>Cc:</w:t>
      </w:r>
      <w:r>
        <w:rPr>
          <w:rFonts w:ascii="Calibri" w:hAnsi="Calibri" w:cs="Calibri"/>
          <w:sz w:val="22"/>
          <w:szCs w:val="22"/>
        </w:rPr>
        <w:t xml:space="preserve"> Dan Bart &lt;</w:t>
      </w:r>
      <w:proofErr w:type="spellStart"/>
      <w:r>
        <w:rPr>
          <w:rFonts w:ascii="Calibri" w:hAnsi="Calibri" w:cs="Calibri"/>
          <w:sz w:val="22"/>
          <w:szCs w:val="22"/>
        </w:rPr>
        <w:fldChar w:fldCharType="begin"/>
      </w:r>
      <w:r>
        <w:rPr>
          <w:rFonts w:ascii="Calibri" w:hAnsi="Calibri" w:cs="Calibri"/>
          <w:sz w:val="22"/>
          <w:szCs w:val="22"/>
        </w:rPr>
        <w:instrText xml:space="preserve"> HYPERLINK "mailto:valleyviewcorp@aol.com" </w:instrText>
      </w:r>
      <w:r>
        <w:rPr>
          <w:rFonts w:ascii="Calibri" w:hAnsi="Calibri" w:cs="Calibri"/>
          <w:sz w:val="22"/>
          <w:szCs w:val="22"/>
        </w:rPr>
        <w:fldChar w:fldCharType="separate"/>
      </w:r>
      <w:r>
        <w:rPr>
          <w:rStyle w:val="Hyperlink"/>
          <w:rFonts w:ascii="Calibri" w:hAnsi="Calibri" w:cs="Calibri"/>
          <w:sz w:val="22"/>
          <w:szCs w:val="22"/>
        </w:rPr>
        <w:t>valleyviewcorp@aol.com</w:t>
      </w:r>
      <w:proofErr w:type="spellEnd"/>
      <w:r>
        <w:rPr>
          <w:rFonts w:ascii="Calibri" w:hAnsi="Calibri" w:cs="Calibri"/>
          <w:sz w:val="22"/>
          <w:szCs w:val="22"/>
        </w:rPr>
        <w:fldChar w:fldCharType="end"/>
      </w:r>
      <w:r>
        <w:rPr>
          <w:rFonts w:ascii="Calibri" w:hAnsi="Calibri" w:cs="Calibri"/>
          <w:sz w:val="22"/>
          <w:szCs w:val="22"/>
        </w:rPr>
        <w:t>&gt;; Anne Caldas &lt;</w:t>
      </w:r>
      <w:hyperlink r:id="rId7" w:history="1">
        <w:r>
          <w:rPr>
            <w:rStyle w:val="Hyperlink"/>
            <w:rFonts w:ascii="Calibri" w:hAnsi="Calibri" w:cs="Calibri"/>
            <w:sz w:val="22"/>
            <w:szCs w:val="22"/>
          </w:rPr>
          <w:t>acaldas@ansi.org</w:t>
        </w:r>
      </w:hyperlink>
      <w:r>
        <w:rPr>
          <w:rFonts w:ascii="Calibri" w:hAnsi="Calibri" w:cs="Calibri"/>
          <w:sz w:val="22"/>
          <w:szCs w:val="22"/>
        </w:rPr>
        <w:t>&gt;</w:t>
      </w:r>
      <w:r>
        <w:rPr>
          <w:rFonts w:ascii="Calibri" w:hAnsi="Calibri" w:cs="Calibri"/>
          <w:sz w:val="22"/>
          <w:szCs w:val="22"/>
        </w:rPr>
        <w:br/>
      </w:r>
      <w:r>
        <w:rPr>
          <w:rFonts w:ascii="Calibri" w:hAnsi="Calibri" w:cs="Calibri"/>
          <w:b/>
          <w:bCs/>
          <w:sz w:val="22"/>
          <w:szCs w:val="22"/>
        </w:rPr>
        <w:t>Subject:</w:t>
      </w:r>
      <w:r>
        <w:rPr>
          <w:rFonts w:ascii="Calibri" w:hAnsi="Calibri" w:cs="Calibri"/>
          <w:sz w:val="22"/>
          <w:szCs w:val="22"/>
        </w:rPr>
        <w:t xml:space="preserve"> Joint Public Comments of GTW Associates (GTW) and Valley View Corporation (VVC) in response to ExSC_032_2019</w:t>
      </w:r>
    </w:p>
    <w:p w:rsidR="00FA4D6A" w:rsidRDefault="00FA4D6A" w:rsidP="00FA4D6A"/>
    <w:p w:rsidR="00FA4D6A" w:rsidRPr="00FA4D6A" w:rsidRDefault="00FA4D6A" w:rsidP="00FA4D6A">
      <w:pPr>
        <w:spacing w:after="160" w:line="240" w:lineRule="atLeast"/>
        <w:rPr>
          <w:rFonts w:ascii="Calibri" w:hAnsi="Calibri" w:cs="Calibri"/>
          <w:color w:val="000000"/>
          <w:sz w:val="22"/>
          <w:szCs w:val="22"/>
        </w:rPr>
      </w:pPr>
      <w:r w:rsidRPr="00FA4D6A">
        <w:rPr>
          <w:rFonts w:ascii="Calibri" w:hAnsi="Calibri" w:cs="Calibri"/>
          <w:color w:val="000000"/>
          <w:sz w:val="22"/>
          <w:szCs w:val="22"/>
        </w:rPr>
        <w:t xml:space="preserve">Attached please find the Joint Public Comments of GTW Associates (GTW) and Valley View Corporation (VVC) in response to </w:t>
      </w:r>
      <w:r w:rsidRPr="00FA4D6A">
        <w:rPr>
          <w:rFonts w:ascii="Calibri" w:hAnsi="Calibri" w:cs="Calibri"/>
          <w:b/>
          <w:bCs/>
          <w:color w:val="000000"/>
          <w:sz w:val="22"/>
          <w:szCs w:val="22"/>
        </w:rPr>
        <w:t>ExSC_032_2019.  Please acknowledge timely receipt of these Joint Public Comments.</w:t>
      </w:r>
    </w:p>
    <w:p w:rsidR="00FA4D6A" w:rsidRPr="00FA4D6A" w:rsidRDefault="00FA4D6A" w:rsidP="00FA4D6A">
      <w:pPr>
        <w:spacing w:after="160" w:line="240" w:lineRule="atLeast"/>
        <w:rPr>
          <w:rFonts w:ascii="Calibri" w:hAnsi="Calibri" w:cs="Calibri"/>
          <w:color w:val="000000"/>
          <w:sz w:val="22"/>
          <w:szCs w:val="22"/>
        </w:rPr>
      </w:pPr>
      <w:r w:rsidRPr="00FA4D6A">
        <w:rPr>
          <w:rFonts w:ascii="Calibri" w:hAnsi="Calibri" w:cs="Calibri"/>
          <w:color w:val="000000"/>
          <w:sz w:val="22"/>
          <w:szCs w:val="22"/>
        </w:rPr>
        <w:t xml:space="preserve">GTW and VVC filed comments on the Appeals Sections of the POC Procedures that developed the </w:t>
      </w:r>
      <w:r w:rsidRPr="00FA4D6A">
        <w:rPr>
          <w:rFonts w:ascii="Calibri" w:hAnsi="Calibri" w:cs="Calibri"/>
          <w:b/>
          <w:bCs/>
          <w:color w:val="000000"/>
          <w:sz w:val="22"/>
          <w:szCs w:val="22"/>
        </w:rPr>
        <w:t xml:space="preserve">2017 Revisions </w:t>
      </w:r>
      <w:r w:rsidRPr="00FA4D6A">
        <w:rPr>
          <w:rFonts w:ascii="Calibri" w:hAnsi="Calibri" w:cs="Calibri"/>
          <w:color w:val="000000"/>
          <w:sz w:val="22"/>
          <w:szCs w:val="22"/>
        </w:rPr>
        <w:t xml:space="preserve">to those Sections.  </w:t>
      </w:r>
      <w:proofErr w:type="gramStart"/>
      <w:r w:rsidRPr="00FA4D6A">
        <w:rPr>
          <w:rFonts w:ascii="Calibri" w:hAnsi="Calibri" w:cs="Calibri"/>
          <w:color w:val="000000"/>
          <w:sz w:val="22"/>
          <w:szCs w:val="22"/>
        </w:rPr>
        <w:t xml:space="preserve">After gaining practical experience in applying those Procedures at both the ExSC level and the Appeals Board level, in the appeals of the </w:t>
      </w:r>
      <w:r w:rsidRPr="00FA4D6A">
        <w:rPr>
          <w:rFonts w:ascii="Calibri" w:hAnsi="Calibri" w:cs="Calibri"/>
          <w:b/>
          <w:bCs/>
          <w:color w:val="000000"/>
          <w:sz w:val="22"/>
          <w:szCs w:val="22"/>
        </w:rPr>
        <w:t>September 2017 ExSC Decision</w:t>
      </w:r>
      <w:r w:rsidRPr="00FA4D6A">
        <w:rPr>
          <w:rFonts w:ascii="Calibri" w:hAnsi="Calibri" w:cs="Calibri"/>
          <w:color w:val="000000"/>
          <w:sz w:val="22"/>
          <w:szCs w:val="22"/>
        </w:rPr>
        <w:t xml:space="preserve">, </w:t>
      </w:r>
      <w:r w:rsidRPr="00FA4D6A">
        <w:rPr>
          <w:rFonts w:ascii="Calibri" w:hAnsi="Calibri" w:cs="Calibri"/>
          <w:color w:val="000000"/>
          <w:sz w:val="22"/>
          <w:szCs w:val="22"/>
          <w:u w:val="single"/>
        </w:rPr>
        <w:t>many new</w:t>
      </w:r>
      <w:r w:rsidRPr="00FA4D6A">
        <w:rPr>
          <w:rFonts w:ascii="Calibri" w:hAnsi="Calibri" w:cs="Calibri"/>
          <w:color w:val="000000"/>
          <w:sz w:val="22"/>
          <w:szCs w:val="22"/>
        </w:rPr>
        <w:t xml:space="preserve"> issues arose and needed to be corrected in the POC Procedures and thus </w:t>
      </w:r>
      <w:r w:rsidRPr="00FA4D6A">
        <w:rPr>
          <w:rFonts w:ascii="Calibri" w:hAnsi="Calibri" w:cs="Calibri"/>
          <w:color w:val="000000"/>
          <w:sz w:val="22"/>
          <w:szCs w:val="22"/>
          <w:u w:val="single"/>
        </w:rPr>
        <w:t>both</w:t>
      </w:r>
      <w:r w:rsidRPr="00FA4D6A">
        <w:rPr>
          <w:rFonts w:ascii="Calibri" w:hAnsi="Calibri" w:cs="Calibri"/>
          <w:color w:val="000000"/>
          <w:sz w:val="22"/>
          <w:szCs w:val="22"/>
        </w:rPr>
        <w:t xml:space="preserve"> GTW and VVC filed requests for changes as documented in </w:t>
      </w:r>
      <w:r w:rsidRPr="00FA4D6A">
        <w:rPr>
          <w:rFonts w:ascii="Calibri" w:hAnsi="Calibri" w:cs="Calibri"/>
          <w:b/>
          <w:bCs/>
          <w:color w:val="000000"/>
          <w:sz w:val="22"/>
          <w:szCs w:val="22"/>
        </w:rPr>
        <w:t>ExSC_016A_2018, ExSC_054_2018, and ExSC_055_2018.</w:t>
      </w:r>
      <w:proofErr w:type="gramEnd"/>
    </w:p>
    <w:p w:rsidR="00FA4D6A" w:rsidRPr="00FA4D6A" w:rsidRDefault="00FA4D6A" w:rsidP="00FA4D6A">
      <w:pPr>
        <w:spacing w:after="160" w:line="240" w:lineRule="atLeast"/>
        <w:rPr>
          <w:rFonts w:ascii="Calibri" w:hAnsi="Calibri" w:cs="Calibri"/>
          <w:color w:val="000000"/>
          <w:sz w:val="22"/>
          <w:szCs w:val="22"/>
        </w:rPr>
      </w:pPr>
      <w:r w:rsidRPr="00FA4D6A">
        <w:rPr>
          <w:rFonts w:ascii="Calibri" w:hAnsi="Calibri" w:cs="Calibri"/>
          <w:color w:val="000000"/>
          <w:sz w:val="22"/>
          <w:szCs w:val="22"/>
        </w:rPr>
        <w:t xml:space="preserve">The ExSC considered those comments and input from staff and members of the ExSC in developing revisions to the POC Procedures that are out for Public Comment via </w:t>
      </w:r>
      <w:r w:rsidRPr="00FA4D6A">
        <w:rPr>
          <w:rFonts w:ascii="Calibri" w:hAnsi="Calibri" w:cs="Calibri"/>
          <w:b/>
          <w:bCs/>
          <w:color w:val="000000"/>
          <w:sz w:val="22"/>
          <w:szCs w:val="22"/>
        </w:rPr>
        <w:t>ExSC_032_</w:t>
      </w:r>
      <w:proofErr w:type="gramStart"/>
      <w:r w:rsidRPr="00FA4D6A">
        <w:rPr>
          <w:rFonts w:ascii="Calibri" w:hAnsi="Calibri" w:cs="Calibri"/>
          <w:b/>
          <w:bCs/>
          <w:color w:val="000000"/>
          <w:sz w:val="22"/>
          <w:szCs w:val="22"/>
        </w:rPr>
        <w:t>2019 . </w:t>
      </w:r>
      <w:proofErr w:type="gramEnd"/>
      <w:r w:rsidRPr="00FA4D6A">
        <w:rPr>
          <w:rFonts w:ascii="Calibri" w:hAnsi="Calibri" w:cs="Calibri"/>
          <w:b/>
          <w:bCs/>
          <w:color w:val="000000"/>
          <w:sz w:val="22"/>
          <w:szCs w:val="22"/>
        </w:rPr>
        <w:t xml:space="preserve"> Of the 16 issues addressed in ExSC_016A_2018, ExSC_054_2018, and ExSC_055_</w:t>
      </w:r>
      <w:proofErr w:type="gramStart"/>
      <w:r w:rsidRPr="00FA4D6A">
        <w:rPr>
          <w:rFonts w:ascii="Calibri" w:hAnsi="Calibri" w:cs="Calibri"/>
          <w:b/>
          <w:bCs/>
          <w:color w:val="000000"/>
          <w:sz w:val="22"/>
          <w:szCs w:val="22"/>
        </w:rPr>
        <w:t>2018 ,</w:t>
      </w:r>
      <w:proofErr w:type="gramEnd"/>
      <w:r w:rsidRPr="00FA4D6A">
        <w:rPr>
          <w:rFonts w:ascii="Calibri" w:hAnsi="Calibri" w:cs="Calibri"/>
          <w:b/>
          <w:bCs/>
          <w:color w:val="000000"/>
          <w:sz w:val="22"/>
          <w:szCs w:val="22"/>
        </w:rPr>
        <w:t xml:space="preserve"> the ExSC </w:t>
      </w:r>
      <w:r w:rsidRPr="00FA4D6A">
        <w:rPr>
          <w:rFonts w:ascii="Calibri" w:hAnsi="Calibri" w:cs="Calibri"/>
          <w:b/>
          <w:bCs/>
          <w:color w:val="000000"/>
          <w:sz w:val="22"/>
          <w:szCs w:val="22"/>
          <w:u w:val="single"/>
        </w:rPr>
        <w:t xml:space="preserve">agreed </w:t>
      </w:r>
      <w:r w:rsidRPr="00FA4D6A">
        <w:rPr>
          <w:rFonts w:ascii="Calibri" w:hAnsi="Calibri" w:cs="Calibri"/>
          <w:b/>
          <w:bCs/>
          <w:color w:val="000000"/>
          <w:sz w:val="22"/>
          <w:szCs w:val="22"/>
        </w:rPr>
        <w:t xml:space="preserve">to make changes for 5 of those issues, plus agreeing with other input on anonymous filings, and noted the </w:t>
      </w:r>
      <w:r w:rsidRPr="00FA4D6A">
        <w:rPr>
          <w:rFonts w:ascii="Calibri" w:hAnsi="Calibri" w:cs="Calibri"/>
          <w:b/>
          <w:bCs/>
          <w:color w:val="000000"/>
          <w:sz w:val="22"/>
          <w:szCs w:val="22"/>
          <w:u w:val="single"/>
        </w:rPr>
        <w:t>concern</w:t>
      </w:r>
      <w:r w:rsidRPr="00FA4D6A">
        <w:rPr>
          <w:rFonts w:ascii="Calibri" w:hAnsi="Calibri" w:cs="Calibri"/>
          <w:b/>
          <w:bCs/>
          <w:color w:val="000000"/>
          <w:sz w:val="22"/>
          <w:szCs w:val="22"/>
        </w:rPr>
        <w:t xml:space="preserve"> of Extensions being granted that </w:t>
      </w:r>
      <w:r w:rsidRPr="00FA4D6A">
        <w:rPr>
          <w:rFonts w:ascii="Calibri" w:hAnsi="Calibri" w:cs="Calibri"/>
          <w:b/>
          <w:bCs/>
          <w:color w:val="000000"/>
          <w:sz w:val="22"/>
          <w:szCs w:val="22"/>
          <w:u w:val="single"/>
        </w:rPr>
        <w:t>were not requested</w:t>
      </w:r>
      <w:r w:rsidRPr="00FA4D6A">
        <w:rPr>
          <w:rFonts w:ascii="Calibri" w:hAnsi="Calibri" w:cs="Calibri"/>
          <w:b/>
          <w:bCs/>
          <w:color w:val="000000"/>
          <w:sz w:val="22"/>
          <w:szCs w:val="22"/>
        </w:rPr>
        <w:t>.</w:t>
      </w:r>
    </w:p>
    <w:p w:rsidR="00FA4D6A" w:rsidRPr="00FA4D6A" w:rsidRDefault="00FA4D6A" w:rsidP="00FA4D6A">
      <w:pPr>
        <w:spacing w:after="160" w:line="240" w:lineRule="atLeast"/>
        <w:rPr>
          <w:rFonts w:ascii="Calibri" w:hAnsi="Calibri" w:cs="Calibri"/>
          <w:color w:val="000000"/>
          <w:sz w:val="22"/>
          <w:szCs w:val="22"/>
        </w:rPr>
      </w:pPr>
      <w:r w:rsidRPr="00FA4D6A">
        <w:rPr>
          <w:rFonts w:ascii="Calibri" w:hAnsi="Calibri" w:cs="Calibri"/>
          <w:color w:val="000000"/>
          <w:sz w:val="22"/>
          <w:szCs w:val="22"/>
        </w:rPr>
        <w:t xml:space="preserve">In reviewing those proposed changes, GTW and VVC are filing these JOINT comments on the proposed changes.  The </w:t>
      </w:r>
      <w:r w:rsidRPr="00FA4D6A">
        <w:rPr>
          <w:rFonts w:ascii="Calibri" w:hAnsi="Calibri" w:cs="Calibri"/>
          <w:b/>
          <w:bCs/>
          <w:color w:val="000000"/>
          <w:sz w:val="22"/>
          <w:szCs w:val="22"/>
          <w:u w:val="single"/>
        </w:rPr>
        <w:t>major issue</w:t>
      </w:r>
      <w:r w:rsidRPr="00FA4D6A">
        <w:rPr>
          <w:rFonts w:ascii="Calibri" w:hAnsi="Calibri" w:cs="Calibri"/>
          <w:color w:val="000000"/>
          <w:sz w:val="22"/>
          <w:szCs w:val="22"/>
        </w:rPr>
        <w:t xml:space="preserve"> continues to be the lack of due process and right of appeal, by failure to provide </w:t>
      </w:r>
      <w:r w:rsidRPr="00FA4D6A">
        <w:rPr>
          <w:rFonts w:ascii="Calibri" w:hAnsi="Calibri" w:cs="Calibri"/>
          <w:color w:val="000000"/>
          <w:sz w:val="22"/>
          <w:szCs w:val="22"/>
          <w:u w:val="single"/>
        </w:rPr>
        <w:t>formal notice</w:t>
      </w:r>
      <w:r w:rsidRPr="00FA4D6A">
        <w:rPr>
          <w:rFonts w:ascii="Calibri" w:hAnsi="Calibri" w:cs="Calibri"/>
          <w:color w:val="000000"/>
          <w:sz w:val="22"/>
          <w:szCs w:val="22"/>
        </w:rPr>
        <w:t xml:space="preserve"> of some POC decisions and interpretations in </w:t>
      </w:r>
      <w:r w:rsidRPr="00FA4D6A">
        <w:rPr>
          <w:rFonts w:ascii="Calibri" w:hAnsi="Calibri" w:cs="Calibri"/>
          <w:i/>
          <w:iCs/>
          <w:color w:val="000000"/>
          <w:sz w:val="22"/>
          <w:szCs w:val="22"/>
        </w:rPr>
        <w:t>Standards Action</w:t>
      </w:r>
      <w:r w:rsidRPr="00FA4D6A">
        <w:rPr>
          <w:rFonts w:ascii="Calibri" w:hAnsi="Calibri" w:cs="Calibri"/>
          <w:color w:val="000000"/>
          <w:sz w:val="22"/>
          <w:szCs w:val="22"/>
        </w:rPr>
        <w:t xml:space="preserve"> and thus the starting of the Appeals clock.  Saying that parties can “request” a decision is not an adequate response since parties </w:t>
      </w:r>
      <w:r w:rsidRPr="00FA4D6A">
        <w:rPr>
          <w:rFonts w:ascii="Calibri" w:hAnsi="Calibri" w:cs="Calibri"/>
          <w:color w:val="000000"/>
          <w:sz w:val="22"/>
          <w:szCs w:val="22"/>
          <w:u w:val="single"/>
        </w:rPr>
        <w:t>cannot request a document they have not been provided formal notice of even exists</w:t>
      </w:r>
      <w:r w:rsidRPr="00FA4D6A">
        <w:rPr>
          <w:rFonts w:ascii="Calibri" w:hAnsi="Calibri" w:cs="Calibri"/>
          <w:color w:val="000000"/>
          <w:sz w:val="22"/>
          <w:szCs w:val="22"/>
        </w:rPr>
        <w:t xml:space="preserve">.  They </w:t>
      </w:r>
      <w:proofErr w:type="gramStart"/>
      <w:r w:rsidRPr="00FA4D6A">
        <w:rPr>
          <w:rFonts w:ascii="Calibri" w:hAnsi="Calibri" w:cs="Calibri"/>
          <w:color w:val="000000"/>
          <w:sz w:val="22"/>
          <w:szCs w:val="22"/>
        </w:rPr>
        <w:t>don’t</w:t>
      </w:r>
      <w:proofErr w:type="gramEnd"/>
      <w:r w:rsidRPr="00FA4D6A">
        <w:rPr>
          <w:rFonts w:ascii="Calibri" w:hAnsi="Calibri" w:cs="Calibri"/>
          <w:color w:val="000000"/>
          <w:sz w:val="22"/>
          <w:szCs w:val="22"/>
        </w:rPr>
        <w:t xml:space="preserve"> know what they don’t know!  </w:t>
      </w:r>
      <w:proofErr w:type="gramStart"/>
      <w:r w:rsidRPr="00FA4D6A">
        <w:rPr>
          <w:rFonts w:ascii="Calibri" w:hAnsi="Calibri" w:cs="Calibri"/>
          <w:color w:val="000000"/>
          <w:sz w:val="22"/>
          <w:szCs w:val="22"/>
        </w:rPr>
        <w:t>Similarly</w:t>
      </w:r>
      <w:proofErr w:type="gramEnd"/>
      <w:r w:rsidRPr="00FA4D6A">
        <w:rPr>
          <w:rFonts w:ascii="Calibri" w:hAnsi="Calibri" w:cs="Calibri"/>
          <w:color w:val="000000"/>
          <w:sz w:val="22"/>
          <w:szCs w:val="22"/>
        </w:rPr>
        <w:t xml:space="preserve"> parties who may wish to file a Letter of Support in an Appeal, also need </w:t>
      </w:r>
      <w:r w:rsidRPr="00FA4D6A">
        <w:rPr>
          <w:rFonts w:ascii="Calibri" w:hAnsi="Calibri" w:cs="Calibri"/>
          <w:color w:val="000000"/>
          <w:sz w:val="22"/>
          <w:szCs w:val="22"/>
          <w:u w:val="single"/>
        </w:rPr>
        <w:t>formal notice</w:t>
      </w:r>
      <w:r w:rsidRPr="00FA4D6A">
        <w:rPr>
          <w:rFonts w:ascii="Calibri" w:hAnsi="Calibri" w:cs="Calibri"/>
          <w:color w:val="000000"/>
          <w:sz w:val="22"/>
          <w:szCs w:val="22"/>
        </w:rPr>
        <w:t xml:space="preserve"> that an Appeal has been filed and a method to obtain that Appeal and </w:t>
      </w:r>
      <w:r w:rsidRPr="00FA4D6A">
        <w:rPr>
          <w:rFonts w:ascii="Calibri" w:hAnsi="Calibri" w:cs="Calibri"/>
          <w:color w:val="000000"/>
          <w:sz w:val="22"/>
          <w:szCs w:val="22"/>
          <w:u w:val="single"/>
        </w:rPr>
        <w:t>THEN decide</w:t>
      </w:r>
      <w:r w:rsidRPr="00FA4D6A">
        <w:rPr>
          <w:rFonts w:ascii="Calibri" w:hAnsi="Calibri" w:cs="Calibri"/>
          <w:color w:val="000000"/>
          <w:sz w:val="22"/>
          <w:szCs w:val="22"/>
        </w:rPr>
        <w:t xml:space="preserve"> what they may support or oppose in the Appeal or Response.</w:t>
      </w:r>
    </w:p>
    <w:p w:rsidR="00FA4D6A" w:rsidRPr="00FA4D6A" w:rsidRDefault="00FA4D6A" w:rsidP="00FA4D6A">
      <w:pPr>
        <w:rPr>
          <w:rFonts w:ascii="Calibri" w:hAnsi="Calibri" w:cs="Calibri"/>
          <w:color w:val="000000"/>
          <w:sz w:val="22"/>
          <w:szCs w:val="22"/>
        </w:rPr>
      </w:pPr>
      <w:r w:rsidRPr="00FA4D6A">
        <w:rPr>
          <w:rFonts w:ascii="Calibri" w:hAnsi="Calibri" w:cs="Calibri"/>
          <w:color w:val="000000"/>
          <w:sz w:val="22"/>
          <w:szCs w:val="22"/>
        </w:rPr>
        <w:t xml:space="preserve">The attached Joint Comments, address these major points and other more minor issues and clarifications needed for each POC’s Appeals Procedures Section (note there are three files attached specific to the AB, the BSR and the ExSC)  An abbreviated statement of the original issues are in Column 1, the ExSC Responses are in Column 2.  Column 3 in each file is a cut and paste of the proposed revised text for a particular POC.  Column 4 contains the Joint Comments of GTW and VVC on those proposed changes.  </w:t>
      </w:r>
    </w:p>
    <w:p w:rsidR="00FA4D6A" w:rsidRPr="00FA4D6A" w:rsidRDefault="00FA4D6A" w:rsidP="00FA4D6A">
      <w:pPr>
        <w:rPr>
          <w:rFonts w:ascii="Calibri" w:hAnsi="Calibri" w:cs="Calibri"/>
          <w:color w:val="000000"/>
          <w:sz w:val="22"/>
          <w:szCs w:val="22"/>
        </w:rPr>
      </w:pPr>
      <w:r w:rsidRPr="00FA4D6A">
        <w:rPr>
          <w:rFonts w:ascii="Calibri" w:hAnsi="Calibri" w:cs="Calibri"/>
          <w:color w:val="000000"/>
          <w:sz w:val="22"/>
          <w:szCs w:val="22"/>
        </w:rPr>
        <w:t> </w:t>
      </w:r>
    </w:p>
    <w:p w:rsidR="00FA4D6A" w:rsidRPr="00FA4D6A" w:rsidRDefault="00FA4D6A" w:rsidP="00FA4D6A">
      <w:pPr>
        <w:rPr>
          <w:rFonts w:ascii="Calibri" w:hAnsi="Calibri" w:cs="Calibri"/>
          <w:color w:val="000000"/>
          <w:sz w:val="22"/>
          <w:szCs w:val="22"/>
        </w:rPr>
      </w:pPr>
      <w:r>
        <w:rPr>
          <w:rStyle w:val="Strong"/>
          <w:rFonts w:ascii="Calibri" w:hAnsi="Calibri" w:cs="Calibri"/>
          <w:color w:val="000000"/>
          <w:sz w:val="22"/>
          <w:szCs w:val="22"/>
        </w:rPr>
        <w:t>We suggest the ExSC </w:t>
      </w:r>
      <w:r w:rsidRPr="00FA4D6A">
        <w:rPr>
          <w:rStyle w:val="Strong"/>
          <w:rFonts w:ascii="Calibri" w:hAnsi="Calibri" w:cs="Calibri"/>
          <w:color w:val="000000"/>
          <w:sz w:val="22"/>
          <w:szCs w:val="22"/>
        </w:rPr>
        <w:t>start with the ExSC file initially, since the AB and BSR files point back to the ExSC file to save some repetition of comments</w:t>
      </w:r>
      <w:r w:rsidRPr="00FA4D6A">
        <w:rPr>
          <w:rFonts w:ascii="Calibri" w:hAnsi="Calibri" w:cs="Calibri"/>
          <w:color w:val="000000"/>
          <w:sz w:val="22"/>
          <w:szCs w:val="22"/>
        </w:rPr>
        <w:t xml:space="preserve">. </w:t>
      </w:r>
    </w:p>
    <w:p w:rsidR="00FA4D6A" w:rsidRDefault="00FA4D6A" w:rsidP="00FA4D6A">
      <w:pPr>
        <w:rPr>
          <w:rFonts w:ascii="Calibri" w:hAnsi="Calibri" w:cs="Calibri"/>
          <w:color w:val="000000"/>
        </w:rPr>
      </w:pPr>
      <w:r>
        <w:rPr>
          <w:rFonts w:ascii="Calibri" w:hAnsi="Calibri" w:cs="Calibri"/>
          <w:color w:val="000000"/>
        </w:rPr>
        <w:t> </w:t>
      </w:r>
    </w:p>
    <w:p w:rsidR="00FA4D6A" w:rsidRDefault="00FA4D6A" w:rsidP="00FA4D6A">
      <w:pPr>
        <w:rPr>
          <w:rFonts w:ascii="Calibri" w:hAnsi="Calibri" w:cs="Calibri"/>
          <w:color w:val="000000"/>
        </w:rPr>
      </w:pPr>
      <w:r>
        <w:rPr>
          <w:rFonts w:ascii="Calibri" w:hAnsi="Calibri" w:cs="Calibri"/>
          <w:color w:val="000000"/>
        </w:rPr>
        <w:t> </w:t>
      </w:r>
    </w:p>
    <w:p w:rsidR="00FA4D6A" w:rsidRDefault="00FA4D6A" w:rsidP="00FA4D6A">
      <w:pPr>
        <w:rPr>
          <w:rFonts w:ascii="Calibri" w:hAnsi="Calibri" w:cs="Calibri"/>
          <w:color w:val="000000"/>
        </w:rPr>
      </w:pPr>
      <w:r>
        <w:rPr>
          <w:rFonts w:ascii="Calibri" w:hAnsi="Calibri" w:cs="Calibri"/>
          <w:color w:val="000000"/>
        </w:rPr>
        <w:t xml:space="preserve">George T. </w:t>
      </w:r>
      <w:proofErr w:type="spellStart"/>
      <w:r>
        <w:rPr>
          <w:rFonts w:ascii="Calibri" w:hAnsi="Calibri" w:cs="Calibri"/>
          <w:color w:val="000000"/>
        </w:rPr>
        <w:t>Willingmyre</w:t>
      </w:r>
      <w:proofErr w:type="spellEnd"/>
      <w:r>
        <w:rPr>
          <w:rFonts w:ascii="Calibri" w:hAnsi="Calibri" w:cs="Calibri"/>
          <w:color w:val="000000"/>
        </w:rPr>
        <w:br/>
        <w:t>President GTW Associates</w:t>
      </w:r>
    </w:p>
    <w:p w:rsidR="00287C71" w:rsidRDefault="00287C71">
      <w:bookmarkStart w:id="0" w:name="_GoBack"/>
      <w:bookmarkEnd w:id="0"/>
    </w:p>
    <w:sectPr w:rsidR="00287C7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D6A" w:rsidRDefault="00FA4D6A" w:rsidP="00FA4D6A">
      <w:r>
        <w:separator/>
      </w:r>
    </w:p>
  </w:endnote>
  <w:endnote w:type="continuationSeparator" w:id="0">
    <w:p w:rsidR="00FA4D6A" w:rsidRDefault="00FA4D6A" w:rsidP="00FA4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D6A" w:rsidRDefault="00FA4D6A" w:rsidP="00FA4D6A">
      <w:r>
        <w:separator/>
      </w:r>
    </w:p>
  </w:footnote>
  <w:footnote w:type="continuationSeparator" w:id="0">
    <w:p w:rsidR="00FA4D6A" w:rsidRDefault="00FA4D6A" w:rsidP="00FA4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D6A" w:rsidRPr="00FA4D6A" w:rsidRDefault="00FA4D6A" w:rsidP="00FA4D6A">
    <w:pPr>
      <w:pStyle w:val="Header"/>
      <w:jc w:val="right"/>
      <w:rPr>
        <w:b/>
        <w:sz w:val="24"/>
        <w:szCs w:val="24"/>
      </w:rPr>
    </w:pPr>
    <w:r w:rsidRPr="00FA4D6A">
      <w:rPr>
        <w:b/>
        <w:sz w:val="24"/>
        <w:szCs w:val="24"/>
      </w:rPr>
      <w:t>ExSC_032C_2019</w:t>
    </w:r>
  </w:p>
  <w:p w:rsidR="00FA4D6A" w:rsidRDefault="00FA4D6A">
    <w:pPr>
      <w:pStyle w:val="Header"/>
    </w:pPr>
  </w:p>
  <w:p w:rsidR="00FA4D6A" w:rsidRDefault="00FA4D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D6A"/>
    <w:rsid w:val="00287C71"/>
    <w:rsid w:val="00FA4D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7F4B6"/>
  <w15:chartTrackingRefBased/>
  <w15:docId w15:val="{80E26686-BFD6-482F-8A4F-D2844C96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D6A"/>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4D6A"/>
    <w:pPr>
      <w:tabs>
        <w:tab w:val="center" w:pos="4680"/>
        <w:tab w:val="right" w:pos="9360"/>
      </w:tabs>
    </w:pPr>
    <w:rPr>
      <w:rFonts w:asciiTheme="minorHAnsi" w:hAnsiTheme="minorHAnsi" w:cstheme="minorBidi"/>
      <w:sz w:val="22"/>
      <w:szCs w:val="22"/>
    </w:rPr>
  </w:style>
  <w:style w:type="character" w:customStyle="1" w:styleId="HeaderChar">
    <w:name w:val="Header Char"/>
    <w:basedOn w:val="DefaultParagraphFont"/>
    <w:link w:val="Header"/>
    <w:uiPriority w:val="99"/>
    <w:rsid w:val="00FA4D6A"/>
  </w:style>
  <w:style w:type="paragraph" w:styleId="Footer">
    <w:name w:val="footer"/>
    <w:basedOn w:val="Normal"/>
    <w:link w:val="FooterChar"/>
    <w:uiPriority w:val="99"/>
    <w:unhideWhenUsed/>
    <w:rsid w:val="00FA4D6A"/>
    <w:pPr>
      <w:tabs>
        <w:tab w:val="center" w:pos="4680"/>
        <w:tab w:val="right" w:pos="9360"/>
      </w:tabs>
    </w:pPr>
    <w:rPr>
      <w:rFonts w:asciiTheme="minorHAnsi" w:hAnsiTheme="minorHAnsi" w:cstheme="minorBidi"/>
      <w:sz w:val="22"/>
      <w:szCs w:val="22"/>
    </w:rPr>
  </w:style>
  <w:style w:type="character" w:customStyle="1" w:styleId="FooterChar">
    <w:name w:val="Footer Char"/>
    <w:basedOn w:val="DefaultParagraphFont"/>
    <w:link w:val="Footer"/>
    <w:uiPriority w:val="99"/>
    <w:rsid w:val="00FA4D6A"/>
  </w:style>
  <w:style w:type="character" w:styleId="Hyperlink">
    <w:name w:val="Hyperlink"/>
    <w:basedOn w:val="DefaultParagraphFont"/>
    <w:uiPriority w:val="99"/>
    <w:semiHidden/>
    <w:unhideWhenUsed/>
    <w:rsid w:val="00FA4D6A"/>
    <w:rPr>
      <w:color w:val="0563C1"/>
      <w:u w:val="single"/>
    </w:rPr>
  </w:style>
  <w:style w:type="character" w:styleId="Strong">
    <w:name w:val="Strong"/>
    <w:basedOn w:val="DefaultParagraphFont"/>
    <w:uiPriority w:val="22"/>
    <w:qFormat/>
    <w:rsid w:val="00FA4D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17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caldas@ansi.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SA@ansi.or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Thompson</dc:creator>
  <cp:keywords/>
  <dc:description/>
  <cp:lastModifiedBy>James Thompson</cp:lastModifiedBy>
  <cp:revision>1</cp:revision>
  <dcterms:created xsi:type="dcterms:W3CDTF">2019-04-19T14:30:00Z</dcterms:created>
  <dcterms:modified xsi:type="dcterms:W3CDTF">2019-04-19T14:32:00Z</dcterms:modified>
</cp:coreProperties>
</file>