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98" w:rsidRDefault="00EF7095" w:rsidP="0078214A">
      <w:pPr>
        <w:spacing w:after="0" w:line="240" w:lineRule="auto"/>
      </w:pPr>
    </w:p>
    <w:p w:rsidR="00FB4349" w:rsidRPr="00904BCF" w:rsidRDefault="00FB4349" w:rsidP="00FB4349">
      <w:pPr>
        <w:spacing w:after="0"/>
        <w:jc w:val="center"/>
        <w:rPr>
          <w:b/>
          <w:sz w:val="28"/>
          <w:szCs w:val="28"/>
        </w:rPr>
      </w:pPr>
      <w:r w:rsidRPr="00904BCF">
        <w:rPr>
          <w:b/>
          <w:sz w:val="28"/>
          <w:szCs w:val="28"/>
        </w:rPr>
        <w:t xml:space="preserve">“Implementation of standards for trade facilitation: </w:t>
      </w:r>
    </w:p>
    <w:p w:rsidR="00567F8E" w:rsidRPr="00904BCF" w:rsidRDefault="00FB4349" w:rsidP="00FB4349">
      <w:pPr>
        <w:spacing w:after="0"/>
        <w:jc w:val="center"/>
        <w:rPr>
          <w:b/>
          <w:sz w:val="28"/>
          <w:szCs w:val="28"/>
        </w:rPr>
      </w:pPr>
      <w:r w:rsidRPr="00904BCF">
        <w:rPr>
          <w:b/>
          <w:sz w:val="28"/>
          <w:szCs w:val="28"/>
        </w:rPr>
        <w:t>Focus on conformity assessment systems”</w:t>
      </w:r>
    </w:p>
    <w:p w:rsidR="00631802" w:rsidRDefault="00631802" w:rsidP="00FB4349">
      <w:pPr>
        <w:spacing w:after="0"/>
        <w:rPr>
          <w:u w:val="single"/>
        </w:rPr>
      </w:pPr>
      <w:r>
        <w:rPr>
          <w:u w:val="single"/>
        </w:rPr>
        <w:t>Date and location:</w:t>
      </w:r>
    </w:p>
    <w:p w:rsidR="00631802" w:rsidRDefault="00631802" w:rsidP="00FB4349">
      <w:pPr>
        <w:spacing w:after="0"/>
      </w:pPr>
      <w:r w:rsidRPr="00631802">
        <w:t>June 2</w:t>
      </w:r>
      <w:r w:rsidR="00C908E7">
        <w:t>1</w:t>
      </w:r>
      <w:r w:rsidRPr="00631802">
        <w:t>, 2016</w:t>
      </w:r>
    </w:p>
    <w:p w:rsidR="00B45B0A" w:rsidRPr="00631802" w:rsidRDefault="00B45B0A" w:rsidP="00FB4349">
      <w:pPr>
        <w:spacing w:after="0"/>
      </w:pPr>
      <w:r>
        <w:t>Arusha International Conference Centre (AICC)</w:t>
      </w:r>
    </w:p>
    <w:p w:rsidR="00631802" w:rsidRDefault="00631802" w:rsidP="00FB4349">
      <w:pPr>
        <w:spacing w:after="0"/>
      </w:pPr>
      <w:r w:rsidRPr="00631802">
        <w:t>Arusha, Tanzania</w:t>
      </w:r>
    </w:p>
    <w:p w:rsidR="00631802" w:rsidRPr="00631802" w:rsidRDefault="00631802" w:rsidP="00FB4349">
      <w:pPr>
        <w:spacing w:after="0"/>
      </w:pPr>
    </w:p>
    <w:p w:rsidR="00AC6B35" w:rsidRPr="00631802" w:rsidRDefault="00FB4349" w:rsidP="00FB4349">
      <w:pPr>
        <w:spacing w:after="0"/>
        <w:rPr>
          <w:u w:val="single"/>
        </w:rPr>
      </w:pPr>
      <w:r w:rsidRPr="00631802">
        <w:rPr>
          <w:u w:val="single"/>
        </w:rPr>
        <w:t>Co-organized/sponsored by:</w:t>
      </w:r>
    </w:p>
    <w:p w:rsidR="00FB4349" w:rsidRDefault="00FB4349" w:rsidP="00FB4349">
      <w:pPr>
        <w:spacing w:after="0"/>
      </w:pPr>
      <w:r>
        <w:t>ARSO</w:t>
      </w:r>
    </w:p>
    <w:p w:rsidR="00FB4349" w:rsidRDefault="00FB4349" w:rsidP="00FB4349">
      <w:pPr>
        <w:spacing w:after="0"/>
      </w:pPr>
      <w:r>
        <w:t>PTB</w:t>
      </w:r>
    </w:p>
    <w:p w:rsidR="00FB4349" w:rsidRDefault="00FB4349" w:rsidP="00FB4349">
      <w:pPr>
        <w:spacing w:after="0"/>
      </w:pPr>
      <w:r>
        <w:t>The Standards Alliance, a public-private partnership between USAID and ANSI</w:t>
      </w:r>
    </w:p>
    <w:p w:rsidR="00FB4349" w:rsidRDefault="00FB4349" w:rsidP="00FB4349">
      <w:pPr>
        <w:spacing w:after="0"/>
      </w:pPr>
    </w:p>
    <w:tbl>
      <w:tblPr>
        <w:tblStyle w:val="TableGrid"/>
        <w:tblW w:w="0" w:type="auto"/>
        <w:tblLook w:val="04A0" w:firstRow="1" w:lastRow="0" w:firstColumn="1" w:lastColumn="0" w:noHBand="0" w:noVBand="1"/>
      </w:tblPr>
      <w:tblGrid>
        <w:gridCol w:w="1818"/>
        <w:gridCol w:w="7758"/>
      </w:tblGrid>
      <w:tr w:rsidR="00567F8E" w:rsidTr="00FB4349">
        <w:tc>
          <w:tcPr>
            <w:tcW w:w="1818" w:type="dxa"/>
          </w:tcPr>
          <w:p w:rsidR="00567F8E" w:rsidRDefault="00567F8E" w:rsidP="00FB4349">
            <w:pPr>
              <w:spacing w:after="120"/>
              <w:contextualSpacing/>
            </w:pPr>
            <w:r>
              <w:t>9:00 – 9:20am</w:t>
            </w:r>
          </w:p>
        </w:tc>
        <w:tc>
          <w:tcPr>
            <w:tcW w:w="7758" w:type="dxa"/>
          </w:tcPr>
          <w:p w:rsidR="00567F8E" w:rsidRPr="00FB4349" w:rsidRDefault="00567F8E" w:rsidP="00FB4349">
            <w:pPr>
              <w:spacing w:after="120"/>
              <w:contextualSpacing/>
              <w:rPr>
                <w:b/>
              </w:rPr>
            </w:pPr>
            <w:r w:rsidRPr="00FB4349">
              <w:rPr>
                <w:b/>
              </w:rPr>
              <w:t>Opening remarks:</w:t>
            </w:r>
          </w:p>
          <w:p w:rsidR="00567F8E" w:rsidRDefault="00567F8E" w:rsidP="00FB4349">
            <w:pPr>
              <w:pStyle w:val="ListParagraph"/>
              <w:numPr>
                <w:ilvl w:val="0"/>
                <w:numId w:val="2"/>
              </w:numPr>
              <w:spacing w:after="120"/>
            </w:pPr>
            <w:r>
              <w:t>ARSO</w:t>
            </w:r>
          </w:p>
          <w:p w:rsidR="00FB4349" w:rsidRDefault="00FB4349" w:rsidP="00FB4349">
            <w:pPr>
              <w:pStyle w:val="ListParagraph"/>
              <w:numPr>
                <w:ilvl w:val="0"/>
                <w:numId w:val="2"/>
              </w:numPr>
              <w:spacing w:after="120"/>
            </w:pPr>
            <w:r>
              <w:t xml:space="preserve">ANSI </w:t>
            </w:r>
          </w:p>
          <w:p w:rsidR="00567F8E" w:rsidRDefault="00567F8E" w:rsidP="00FB4349">
            <w:pPr>
              <w:pStyle w:val="ListParagraph"/>
              <w:numPr>
                <w:ilvl w:val="0"/>
                <w:numId w:val="2"/>
              </w:numPr>
              <w:spacing w:after="120"/>
            </w:pPr>
            <w:r>
              <w:t>PTB</w:t>
            </w:r>
          </w:p>
        </w:tc>
      </w:tr>
      <w:tr w:rsidR="00567F8E" w:rsidTr="00FB4349">
        <w:tc>
          <w:tcPr>
            <w:tcW w:w="1818" w:type="dxa"/>
          </w:tcPr>
          <w:p w:rsidR="00567F8E" w:rsidRDefault="00567F8E" w:rsidP="00FB4349">
            <w:pPr>
              <w:spacing w:after="120"/>
              <w:contextualSpacing/>
            </w:pPr>
            <w:r>
              <w:t>9:20 – 10:45am</w:t>
            </w:r>
          </w:p>
        </w:tc>
        <w:tc>
          <w:tcPr>
            <w:tcW w:w="7758" w:type="dxa"/>
          </w:tcPr>
          <w:p w:rsidR="003A68DF" w:rsidRDefault="00567F8E" w:rsidP="00FB4349">
            <w:pPr>
              <w:spacing w:after="120"/>
              <w:contextualSpacing/>
              <w:rPr>
                <w:b/>
              </w:rPr>
            </w:pPr>
            <w:r w:rsidRPr="00FB4349">
              <w:rPr>
                <w:b/>
              </w:rPr>
              <w:t>“Technical regulations: elaboration and enforcement”</w:t>
            </w:r>
          </w:p>
          <w:p w:rsidR="00615BEE" w:rsidRPr="001566AD" w:rsidRDefault="00615BEE" w:rsidP="00615BEE">
            <w:pPr>
              <w:spacing w:after="120"/>
            </w:pPr>
            <w:r w:rsidRPr="001566AD">
              <w:t xml:space="preserve">Abstract: </w:t>
            </w:r>
          </w:p>
          <w:p w:rsidR="00615BEE" w:rsidRPr="00A84EE4" w:rsidRDefault="00615BEE" w:rsidP="00615BEE">
            <w:pPr>
              <w:pStyle w:val="Pa1"/>
              <w:jc w:val="both"/>
              <w:rPr>
                <w:rFonts w:asciiTheme="minorHAnsi" w:hAnsiTheme="minorHAnsi" w:cs="ITC Stone Sans Std Medium"/>
                <w:color w:val="000000"/>
                <w:sz w:val="22"/>
                <w:szCs w:val="22"/>
                <w:lang w:val="en-GB"/>
              </w:rPr>
            </w:pPr>
            <w:r w:rsidRPr="00A84EE4">
              <w:rPr>
                <w:rStyle w:val="A0"/>
                <w:rFonts w:asciiTheme="minorHAnsi" w:hAnsiTheme="minorHAnsi"/>
                <w:sz w:val="22"/>
                <w:szCs w:val="22"/>
                <w:lang w:val="en-GB"/>
              </w:rPr>
              <w:t>In any given market, manufacturers and distributors cannot be given a free rein for their products, especially for those that may endanger the health and safety of consumers or damage the environment. Consequently, govern</w:t>
            </w:r>
            <w:r w:rsidRPr="00A84EE4">
              <w:rPr>
                <w:rStyle w:val="A0"/>
                <w:rFonts w:asciiTheme="minorHAnsi" w:hAnsiTheme="minorHAnsi"/>
                <w:sz w:val="22"/>
                <w:szCs w:val="22"/>
                <w:lang w:val="en-GB"/>
              </w:rPr>
              <w:softHyphen/>
              <w:t>ments intervene by establishing technical regulations to protect consumers as well as the environment and prevent market failure. However, technical regulations can impede trade if they are improperly prepared or established for illegitimate objectives.</w:t>
            </w:r>
          </w:p>
          <w:p w:rsidR="00615BEE" w:rsidRPr="00A84EE4" w:rsidRDefault="00615BEE" w:rsidP="00615BEE">
            <w:pPr>
              <w:spacing w:after="120"/>
              <w:jc w:val="both"/>
              <w:rPr>
                <w:rStyle w:val="A0"/>
                <w:sz w:val="22"/>
                <w:szCs w:val="22"/>
              </w:rPr>
            </w:pPr>
            <w:r w:rsidRPr="00A84EE4">
              <w:rPr>
                <w:rStyle w:val="A0"/>
                <w:sz w:val="22"/>
                <w:szCs w:val="22"/>
              </w:rPr>
              <w:t>There is thus a need for a framework to minimize obstacles that could arise from technical regulations in trade. This need is met by the WTO Agreement on Technical Barriers to Trade (TBT), which provides rules for the elabora</w:t>
            </w:r>
            <w:r w:rsidRPr="00A84EE4">
              <w:rPr>
                <w:rStyle w:val="A0"/>
                <w:sz w:val="22"/>
                <w:szCs w:val="22"/>
              </w:rPr>
              <w:softHyphen/>
              <w:t>tion of technical regulations in a transparent manner. Technical regulations should, as far as possible, be based on international standards so that in principle the same product could get access to various markets.</w:t>
            </w:r>
          </w:p>
          <w:p w:rsidR="00615BEE" w:rsidRPr="00A84EE4" w:rsidRDefault="00615BEE" w:rsidP="00615BEE">
            <w:pPr>
              <w:spacing w:after="120"/>
              <w:jc w:val="both"/>
              <w:rPr>
                <w:rStyle w:val="A0"/>
                <w:sz w:val="22"/>
                <w:szCs w:val="22"/>
              </w:rPr>
            </w:pPr>
            <w:r w:rsidRPr="00A84EE4">
              <w:rPr>
                <w:rStyle w:val="A0"/>
                <w:sz w:val="22"/>
                <w:szCs w:val="22"/>
              </w:rPr>
              <w:t>This session will address the different points of view that public and private actors may take on technical regulations, highlight the main similarities and differences between technical regulations and standards, and discuss different methods for using and referencing standards in a legislative context. A further focus will be on good practices for the preparation and the enforcement of technical regulations, including effective market surveillance.</w:t>
            </w:r>
          </w:p>
          <w:p w:rsidR="00615BEE" w:rsidRPr="00FB4349" w:rsidRDefault="00615BEE" w:rsidP="00FB4349">
            <w:pPr>
              <w:spacing w:after="120"/>
              <w:contextualSpacing/>
              <w:rPr>
                <w:b/>
              </w:rPr>
            </w:pPr>
          </w:p>
          <w:p w:rsidR="00567F8E" w:rsidRDefault="00567F8E" w:rsidP="00FB4349">
            <w:pPr>
              <w:pStyle w:val="ListParagraph"/>
              <w:numPr>
                <w:ilvl w:val="0"/>
                <w:numId w:val="1"/>
              </w:numPr>
              <w:spacing w:after="120"/>
            </w:pPr>
            <w:r>
              <w:t xml:space="preserve">Alex </w:t>
            </w:r>
            <w:proofErr w:type="spellStart"/>
            <w:r>
              <w:t>Inklaar</w:t>
            </w:r>
            <w:proofErr w:type="spellEnd"/>
            <w:r>
              <w:t>, PTB</w:t>
            </w:r>
            <w:r w:rsidR="00DB64D4">
              <w:t xml:space="preserve"> </w:t>
            </w:r>
          </w:p>
          <w:p w:rsidR="00C02C63" w:rsidRDefault="00C02C63" w:rsidP="00FB4349">
            <w:pPr>
              <w:pStyle w:val="ListParagraph"/>
              <w:numPr>
                <w:ilvl w:val="0"/>
                <w:numId w:val="1"/>
              </w:numPr>
              <w:spacing w:after="120"/>
            </w:pPr>
            <w:r>
              <w:lastRenderedPageBreak/>
              <w:t>Q&amp;A/discussion</w:t>
            </w:r>
          </w:p>
        </w:tc>
      </w:tr>
      <w:tr w:rsidR="00567F8E" w:rsidTr="00FB4349">
        <w:tc>
          <w:tcPr>
            <w:tcW w:w="1818" w:type="dxa"/>
          </w:tcPr>
          <w:p w:rsidR="00567F8E" w:rsidRDefault="00567F8E" w:rsidP="00FB4349">
            <w:pPr>
              <w:spacing w:after="120"/>
              <w:contextualSpacing/>
            </w:pPr>
            <w:r>
              <w:lastRenderedPageBreak/>
              <w:t>10:45 – 11:00am</w:t>
            </w:r>
          </w:p>
        </w:tc>
        <w:tc>
          <w:tcPr>
            <w:tcW w:w="7758" w:type="dxa"/>
          </w:tcPr>
          <w:p w:rsidR="00FB4349" w:rsidRPr="00FB4349" w:rsidRDefault="00567F8E" w:rsidP="00FB4349">
            <w:pPr>
              <w:spacing w:after="120"/>
              <w:rPr>
                <w:b/>
              </w:rPr>
            </w:pPr>
            <w:r w:rsidRPr="00FB4349">
              <w:rPr>
                <w:b/>
              </w:rPr>
              <w:t>Tea/coffee break</w:t>
            </w:r>
          </w:p>
        </w:tc>
      </w:tr>
      <w:tr w:rsidR="00567F8E" w:rsidTr="00FB4349">
        <w:tc>
          <w:tcPr>
            <w:tcW w:w="1818" w:type="dxa"/>
          </w:tcPr>
          <w:p w:rsidR="00567F8E" w:rsidRDefault="00567F8E" w:rsidP="00DB64D4">
            <w:pPr>
              <w:spacing w:after="120"/>
              <w:contextualSpacing/>
            </w:pPr>
            <w:r>
              <w:t>11:00 –</w:t>
            </w:r>
            <w:r w:rsidR="00AC6B35">
              <w:t xml:space="preserve"> 12:</w:t>
            </w:r>
            <w:r w:rsidR="00DB64D4">
              <w:t>1</w:t>
            </w:r>
            <w:r w:rsidR="00AC6B35">
              <w:t>0</w:t>
            </w:r>
            <w:r>
              <w:t>pm</w:t>
            </w:r>
          </w:p>
        </w:tc>
        <w:tc>
          <w:tcPr>
            <w:tcW w:w="7758" w:type="dxa"/>
          </w:tcPr>
          <w:p w:rsidR="00567F8E" w:rsidRPr="00FB4349" w:rsidRDefault="00567F8E" w:rsidP="00FB4349">
            <w:pPr>
              <w:spacing w:after="120"/>
              <w:contextualSpacing/>
              <w:rPr>
                <w:b/>
              </w:rPr>
            </w:pPr>
            <w:r w:rsidRPr="00FB4349">
              <w:rPr>
                <w:b/>
              </w:rPr>
              <w:t xml:space="preserve">“Introduction to conformity assessment” </w:t>
            </w:r>
          </w:p>
          <w:p w:rsidR="00446E93" w:rsidRDefault="00446E93" w:rsidP="00FB4349">
            <w:pPr>
              <w:spacing w:after="120"/>
              <w:contextualSpacing/>
            </w:pPr>
          </w:p>
          <w:p w:rsidR="00B655B9" w:rsidRDefault="00446E93" w:rsidP="00FB4349">
            <w:pPr>
              <w:spacing w:after="120"/>
              <w:contextualSpacing/>
            </w:pPr>
            <w:r>
              <w:t xml:space="preserve">Abstract: </w:t>
            </w:r>
          </w:p>
          <w:p w:rsidR="00B655B9" w:rsidRDefault="00B655B9" w:rsidP="00FB4349">
            <w:pPr>
              <w:spacing w:after="120"/>
              <w:contextualSpacing/>
            </w:pPr>
          </w:p>
          <w:p w:rsidR="00567F8E" w:rsidRDefault="00B655B9" w:rsidP="00F742FA">
            <w:pPr>
              <w:spacing w:after="120"/>
              <w:contextualSpacing/>
              <w:jc w:val="both"/>
            </w:pPr>
            <w:r w:rsidRPr="00B655B9">
              <w:t xml:space="preserve">The evolution of the global marketplace has made buyers and regulators increasingly dependent not only on standards but also on the methods used to ensure that products comply with the requirements of those standards. Conformity assessment activities therefore form </w:t>
            </w:r>
            <w:r w:rsidR="00250058">
              <w:t>an important tool in trade facilitation</w:t>
            </w:r>
            <w:r w:rsidRPr="00B655B9">
              <w:t xml:space="preserve">. </w:t>
            </w:r>
            <w:r w:rsidR="00250058">
              <w:t>During this session, p</w:t>
            </w:r>
            <w:r>
              <w:t xml:space="preserve">resentations </w:t>
            </w:r>
            <w:r w:rsidR="00250058">
              <w:t xml:space="preserve">will </w:t>
            </w:r>
            <w:r w:rsidR="003A68DF">
              <w:t xml:space="preserve">provide </w:t>
            </w:r>
            <w:r w:rsidR="00250058">
              <w:t>an overview of</w:t>
            </w:r>
            <w:r>
              <w:t xml:space="preserve"> </w:t>
            </w:r>
            <w:r w:rsidR="000F5991">
              <w:t>the various types of conformity assessment</w:t>
            </w:r>
            <w:r>
              <w:t xml:space="preserve">, including sampling and testing, inspection, suppliers’ declaration of conformity, certification, registration, </w:t>
            </w:r>
            <w:r w:rsidR="00F742FA">
              <w:t>and</w:t>
            </w:r>
            <w:r>
              <w:t xml:space="preserve"> accreditation. </w:t>
            </w:r>
            <w:r w:rsidR="00250058">
              <w:t xml:space="preserve">Speakers will also discuss the </w:t>
            </w:r>
            <w:r w:rsidR="00567F8E">
              <w:t xml:space="preserve">international framework for conformity assessment, including the </w:t>
            </w:r>
            <w:r w:rsidR="00250058">
              <w:t xml:space="preserve">role of international treaty organizations such as the World Trade Organization (WTO), global networks of accreditation bodies such as the International Accreditation Forum </w:t>
            </w:r>
            <w:r w:rsidR="00F742FA">
              <w:t xml:space="preserve">(IAF) </w:t>
            </w:r>
            <w:r w:rsidR="00250058">
              <w:t>and the International Laboratory Accreditation Cooperation (ILAC) and accreditation bodies, such as ANSI</w:t>
            </w:r>
            <w:r w:rsidR="00FB4349">
              <w:t>.</w:t>
            </w:r>
          </w:p>
          <w:p w:rsidR="0078214A" w:rsidRDefault="0078214A" w:rsidP="00F742FA">
            <w:pPr>
              <w:spacing w:after="120"/>
              <w:contextualSpacing/>
              <w:jc w:val="both"/>
            </w:pPr>
          </w:p>
          <w:p w:rsidR="003A68DF" w:rsidRDefault="003A68DF" w:rsidP="00F742FA">
            <w:pPr>
              <w:spacing w:after="120"/>
              <w:contextualSpacing/>
              <w:jc w:val="both"/>
            </w:pPr>
            <w:r>
              <w:t>Speakers:</w:t>
            </w:r>
          </w:p>
          <w:p w:rsidR="00DB64D4" w:rsidRDefault="00DB64D4" w:rsidP="00DB64D4">
            <w:pPr>
              <w:pStyle w:val="ListParagraph"/>
              <w:numPr>
                <w:ilvl w:val="0"/>
                <w:numId w:val="1"/>
              </w:numPr>
              <w:spacing w:after="120"/>
            </w:pPr>
            <w:r>
              <w:t xml:space="preserve">Mr. Joe Tretler, </w:t>
            </w:r>
            <w:r w:rsidR="00B45B0A">
              <w:t xml:space="preserve">Vice President , International Policy, </w:t>
            </w:r>
            <w:r>
              <w:t>ANSI</w:t>
            </w:r>
          </w:p>
          <w:p w:rsidR="00DB64D4" w:rsidRDefault="00DB64D4" w:rsidP="00DB64D4">
            <w:pPr>
              <w:pStyle w:val="ListParagraph"/>
              <w:numPr>
                <w:ilvl w:val="1"/>
                <w:numId w:val="1"/>
              </w:numPr>
              <w:spacing w:after="120"/>
            </w:pPr>
            <w:r>
              <w:t>“Introduction to the international framework and obligations for conformity assessment” (30 minutes)</w:t>
            </w:r>
          </w:p>
          <w:p w:rsidR="00DB64D4" w:rsidRDefault="00DB64D4" w:rsidP="00DB64D4">
            <w:pPr>
              <w:pStyle w:val="ListParagraph"/>
              <w:numPr>
                <w:ilvl w:val="0"/>
                <w:numId w:val="1"/>
              </w:numPr>
              <w:spacing w:after="120"/>
            </w:pPr>
            <w:r>
              <w:t xml:space="preserve">Mr. Tim Brooke, </w:t>
            </w:r>
            <w:r w:rsidR="00EF7095">
              <w:t>Vice President of the Certification, Training a</w:t>
            </w:r>
            <w:r w:rsidR="00EF7095">
              <w:t xml:space="preserve">nd Proficiency Testing Division, </w:t>
            </w:r>
            <w:r>
              <w:t>ASTM International</w:t>
            </w:r>
          </w:p>
          <w:p w:rsidR="00DB64D4" w:rsidRDefault="00DB64D4" w:rsidP="00DB64D4">
            <w:pPr>
              <w:pStyle w:val="ListParagraph"/>
              <w:numPr>
                <w:ilvl w:val="1"/>
                <w:numId w:val="1"/>
              </w:numPr>
              <w:spacing w:after="120"/>
            </w:pPr>
            <w:r>
              <w:t>“Overview of conformity assessment programs and ASTM’s related activities” (30 minutes)</w:t>
            </w:r>
          </w:p>
          <w:p w:rsidR="00C02C63" w:rsidRDefault="00DB64D4" w:rsidP="00DB64D4">
            <w:pPr>
              <w:pStyle w:val="ListParagraph"/>
              <w:numPr>
                <w:ilvl w:val="0"/>
                <w:numId w:val="1"/>
              </w:numPr>
              <w:spacing w:after="120"/>
            </w:pPr>
            <w:r>
              <w:t>Q&amp;A (10 minutes)</w:t>
            </w:r>
          </w:p>
        </w:tc>
      </w:tr>
      <w:tr w:rsidR="00DB64D4" w:rsidTr="00FB4349">
        <w:tc>
          <w:tcPr>
            <w:tcW w:w="1818" w:type="dxa"/>
          </w:tcPr>
          <w:p w:rsidR="00DB64D4" w:rsidRDefault="00DB64D4" w:rsidP="00FB4349">
            <w:pPr>
              <w:spacing w:after="120"/>
              <w:contextualSpacing/>
            </w:pPr>
            <w:r>
              <w:t>12:10 – 12:45pm</w:t>
            </w:r>
          </w:p>
        </w:tc>
        <w:tc>
          <w:tcPr>
            <w:tcW w:w="7758" w:type="dxa"/>
          </w:tcPr>
          <w:p w:rsidR="00DB64D4" w:rsidRDefault="00DB64D4" w:rsidP="00FB4349">
            <w:pPr>
              <w:spacing w:after="120"/>
              <w:rPr>
                <w:b/>
              </w:rPr>
            </w:pPr>
            <w:r>
              <w:rPr>
                <w:b/>
              </w:rPr>
              <w:t xml:space="preserve">KEYNOTE SPEAKER: </w:t>
            </w:r>
            <w:r w:rsidRPr="00DB64D4">
              <w:rPr>
                <w:b/>
              </w:rPr>
              <w:t>“ISO’s conformity assessment portfolio”</w:t>
            </w:r>
          </w:p>
          <w:p w:rsidR="00DB64D4" w:rsidRDefault="00DB64D4" w:rsidP="00DB64D4">
            <w:pPr>
              <w:pStyle w:val="ListParagraph"/>
              <w:numPr>
                <w:ilvl w:val="0"/>
                <w:numId w:val="1"/>
              </w:numPr>
              <w:spacing w:after="120"/>
            </w:pPr>
            <w:r>
              <w:t xml:space="preserve">Mr. Kevin McKinley, </w:t>
            </w:r>
            <w:r w:rsidR="00A84EE4">
              <w:t xml:space="preserve">Acting Secretary General, </w:t>
            </w:r>
            <w:r>
              <w:t xml:space="preserve">ISO </w:t>
            </w:r>
          </w:p>
          <w:p w:rsidR="00DB64D4" w:rsidRPr="00DB64D4" w:rsidRDefault="00DB64D4" w:rsidP="00DB64D4">
            <w:pPr>
              <w:pStyle w:val="ListParagraph"/>
              <w:numPr>
                <w:ilvl w:val="0"/>
                <w:numId w:val="1"/>
              </w:numPr>
              <w:spacing w:after="120"/>
            </w:pPr>
            <w:r>
              <w:t>(30 minutes + 5 minutes Q&amp;A)</w:t>
            </w:r>
          </w:p>
        </w:tc>
      </w:tr>
      <w:tr w:rsidR="00AC6B35" w:rsidTr="00FB4349">
        <w:tc>
          <w:tcPr>
            <w:tcW w:w="1818" w:type="dxa"/>
          </w:tcPr>
          <w:p w:rsidR="00AC6B35" w:rsidRDefault="00DB64D4" w:rsidP="00DB64D4">
            <w:pPr>
              <w:spacing w:after="120"/>
              <w:contextualSpacing/>
            </w:pPr>
            <w:r>
              <w:t>12:45</w:t>
            </w:r>
            <w:r w:rsidR="00AC6B35">
              <w:t xml:space="preserve"> – 2:00pm</w:t>
            </w:r>
          </w:p>
        </w:tc>
        <w:tc>
          <w:tcPr>
            <w:tcW w:w="7758" w:type="dxa"/>
          </w:tcPr>
          <w:p w:rsidR="00AC6B35" w:rsidRPr="00FB4349" w:rsidRDefault="00AC6B35" w:rsidP="00FB4349">
            <w:pPr>
              <w:spacing w:after="120"/>
              <w:rPr>
                <w:b/>
              </w:rPr>
            </w:pPr>
            <w:r w:rsidRPr="00FB4349">
              <w:rPr>
                <w:b/>
              </w:rPr>
              <w:t>Lunch</w:t>
            </w:r>
          </w:p>
        </w:tc>
      </w:tr>
      <w:tr w:rsidR="00AC6B35" w:rsidTr="00FB4349">
        <w:tc>
          <w:tcPr>
            <w:tcW w:w="1818" w:type="dxa"/>
          </w:tcPr>
          <w:p w:rsidR="00AC6B35" w:rsidRDefault="00AC6B35" w:rsidP="00DB64D4">
            <w:pPr>
              <w:spacing w:after="120"/>
              <w:contextualSpacing/>
            </w:pPr>
            <w:r>
              <w:t>2:00 – 3:</w:t>
            </w:r>
            <w:r w:rsidR="00DB64D4">
              <w:t>10</w:t>
            </w:r>
            <w:r>
              <w:t>pm</w:t>
            </w:r>
          </w:p>
        </w:tc>
        <w:tc>
          <w:tcPr>
            <w:tcW w:w="7758" w:type="dxa"/>
          </w:tcPr>
          <w:p w:rsidR="00AC6B35" w:rsidRPr="00FB4349" w:rsidRDefault="00AC6B35" w:rsidP="00FB4349">
            <w:pPr>
              <w:spacing w:after="120"/>
              <w:contextualSpacing/>
              <w:rPr>
                <w:b/>
              </w:rPr>
            </w:pPr>
            <w:r w:rsidRPr="00FB4349">
              <w:rPr>
                <w:b/>
              </w:rPr>
              <w:t>“Developing a risk-based conformity assessment system”</w:t>
            </w:r>
          </w:p>
          <w:p w:rsidR="00250058" w:rsidRDefault="00250058" w:rsidP="0078214A"/>
          <w:p w:rsidR="00250058" w:rsidRDefault="00F742FA" w:rsidP="00250058">
            <w:pPr>
              <w:spacing w:after="120"/>
            </w:pPr>
            <w:r>
              <w:t>Abstract:</w:t>
            </w:r>
          </w:p>
          <w:p w:rsidR="000F5991" w:rsidRDefault="0078214A" w:rsidP="009A0F6F">
            <w:pPr>
              <w:spacing w:after="120"/>
              <w:jc w:val="both"/>
            </w:pPr>
            <w:r>
              <w:t>In a risk-based system, t</w:t>
            </w:r>
            <w:r w:rsidR="000F5991" w:rsidRPr="000F5991">
              <w:t xml:space="preserve">he level of risk </w:t>
            </w:r>
            <w:r w:rsidR="009A0F6F">
              <w:t>should determine</w:t>
            </w:r>
            <w:r w:rsidR="000F5991" w:rsidRPr="000F5991">
              <w:t xml:space="preserve"> the rigor and independence needed in a conformity assessment system. The greater the perceived risk, the more oversight and independence the conformity assessment system should have. </w:t>
            </w:r>
            <w:r w:rsidR="00EF5844">
              <w:t xml:space="preserve">Presentations in this session will provide an overview of the </w:t>
            </w:r>
            <w:r w:rsidR="000F5991">
              <w:t xml:space="preserve">various </w:t>
            </w:r>
            <w:r w:rsidR="00EF5844">
              <w:t xml:space="preserve">factors </w:t>
            </w:r>
            <w:r w:rsidR="000F5991">
              <w:t xml:space="preserve">to consider </w:t>
            </w:r>
            <w:r w:rsidR="00EF5844">
              <w:t>in conformity assessment design</w:t>
            </w:r>
            <w:r w:rsidR="000F5991">
              <w:t xml:space="preserve"> and the importance of risk assessment. Case studies </w:t>
            </w:r>
            <w:r w:rsidR="009A0F6F">
              <w:t xml:space="preserve">relevant to the </w:t>
            </w:r>
            <w:r w:rsidR="000F5991">
              <w:t xml:space="preserve">U.S. and Africa of various products, </w:t>
            </w:r>
            <w:r w:rsidR="000F5991">
              <w:lastRenderedPageBreak/>
              <w:t xml:space="preserve">services, processes and personnel, and what types of conformity assessment procedures are </w:t>
            </w:r>
            <w:r w:rsidR="009A0F6F">
              <w:t>necessary</w:t>
            </w:r>
            <w:r w:rsidR="000F5991">
              <w:t xml:space="preserve"> for each, will be provided.  </w:t>
            </w:r>
          </w:p>
          <w:p w:rsidR="003A68DF" w:rsidRDefault="003A68DF" w:rsidP="009A0F6F">
            <w:pPr>
              <w:spacing w:after="120"/>
              <w:jc w:val="both"/>
            </w:pPr>
            <w:r>
              <w:t>Speakers:</w:t>
            </w:r>
          </w:p>
          <w:p w:rsidR="00DB64D4" w:rsidRDefault="00DB64D4" w:rsidP="00DB64D4">
            <w:pPr>
              <w:pStyle w:val="ListParagraph"/>
              <w:numPr>
                <w:ilvl w:val="0"/>
                <w:numId w:val="1"/>
              </w:numPr>
              <w:spacing w:after="120"/>
            </w:pPr>
            <w:r>
              <w:t xml:space="preserve">Mr. Bruce McGill, </w:t>
            </w:r>
            <w:r w:rsidR="00EF7095">
              <w:t xml:space="preserve">Vice President, Global Communication, </w:t>
            </w:r>
            <w:bookmarkStart w:id="0" w:name="_GoBack"/>
            <w:bookmarkEnd w:id="0"/>
            <w:r>
              <w:t>Intertek</w:t>
            </w:r>
          </w:p>
          <w:p w:rsidR="00DB64D4" w:rsidRDefault="00DB64D4" w:rsidP="00DB64D4">
            <w:pPr>
              <w:pStyle w:val="ListParagraph"/>
              <w:numPr>
                <w:ilvl w:val="1"/>
                <w:numId w:val="1"/>
              </w:numPr>
              <w:spacing w:after="120"/>
            </w:pPr>
            <w:r>
              <w:t>“Intertek perspectives on risk-based conformity assessment” (30 minutes)</w:t>
            </w:r>
          </w:p>
          <w:p w:rsidR="00DB64D4" w:rsidRDefault="00DB64D4" w:rsidP="00DB64D4">
            <w:pPr>
              <w:pStyle w:val="ListParagraph"/>
              <w:numPr>
                <w:ilvl w:val="0"/>
                <w:numId w:val="1"/>
              </w:numPr>
              <w:spacing w:after="120"/>
            </w:pPr>
            <w:r>
              <w:t xml:space="preserve">Mr. Derek Greenauer, </w:t>
            </w:r>
            <w:r w:rsidR="00B45B0A">
              <w:t xml:space="preserve">Director of Global Government Affairs, </w:t>
            </w:r>
            <w:r>
              <w:t>UL</w:t>
            </w:r>
          </w:p>
          <w:p w:rsidR="00DB64D4" w:rsidRDefault="00DB64D4" w:rsidP="00DB64D4">
            <w:pPr>
              <w:pStyle w:val="ListParagraph"/>
              <w:numPr>
                <w:ilvl w:val="1"/>
                <w:numId w:val="1"/>
              </w:numPr>
              <w:spacing w:after="120"/>
            </w:pPr>
            <w:r>
              <w:t>“UL perspectives on risk-based conformity assessment” (30 minutes)</w:t>
            </w:r>
          </w:p>
          <w:p w:rsidR="00C02C63" w:rsidRDefault="00DB64D4" w:rsidP="00DB64D4">
            <w:pPr>
              <w:pStyle w:val="ListParagraph"/>
              <w:numPr>
                <w:ilvl w:val="0"/>
                <w:numId w:val="1"/>
              </w:numPr>
              <w:spacing w:after="120"/>
            </w:pPr>
            <w:r>
              <w:t>Q&amp;A (10 minutes)</w:t>
            </w:r>
          </w:p>
        </w:tc>
      </w:tr>
      <w:tr w:rsidR="00DB64D4" w:rsidTr="00FB4349">
        <w:tc>
          <w:tcPr>
            <w:tcW w:w="1818" w:type="dxa"/>
          </w:tcPr>
          <w:p w:rsidR="00DB64D4" w:rsidRDefault="00DB64D4" w:rsidP="00FB4349">
            <w:pPr>
              <w:spacing w:after="120"/>
              <w:contextualSpacing/>
            </w:pPr>
            <w:r>
              <w:lastRenderedPageBreak/>
              <w:t>3:10 – 3</w:t>
            </w:r>
            <w:r w:rsidR="004849C0">
              <w:t>:</w:t>
            </w:r>
            <w:r>
              <w:t>25pm</w:t>
            </w:r>
          </w:p>
        </w:tc>
        <w:tc>
          <w:tcPr>
            <w:tcW w:w="7758" w:type="dxa"/>
          </w:tcPr>
          <w:p w:rsidR="00DB64D4" w:rsidRPr="00FB4349" w:rsidRDefault="00DB64D4" w:rsidP="0055103A">
            <w:pPr>
              <w:spacing w:after="120"/>
              <w:contextualSpacing/>
              <w:jc w:val="both"/>
              <w:rPr>
                <w:b/>
              </w:rPr>
            </w:pPr>
            <w:r>
              <w:rPr>
                <w:b/>
              </w:rPr>
              <w:t>Coffee/tea break</w:t>
            </w:r>
          </w:p>
        </w:tc>
      </w:tr>
      <w:tr w:rsidR="00AC6B35" w:rsidTr="00FB4349">
        <w:tc>
          <w:tcPr>
            <w:tcW w:w="1818" w:type="dxa"/>
          </w:tcPr>
          <w:p w:rsidR="00AC6B35" w:rsidRDefault="00AC6B35" w:rsidP="00DB64D4">
            <w:pPr>
              <w:spacing w:after="120"/>
              <w:contextualSpacing/>
            </w:pPr>
            <w:r>
              <w:t>3:</w:t>
            </w:r>
            <w:r w:rsidR="00DB64D4">
              <w:t xml:space="preserve">25 – 4:00pm </w:t>
            </w:r>
          </w:p>
        </w:tc>
        <w:tc>
          <w:tcPr>
            <w:tcW w:w="7758" w:type="dxa"/>
          </w:tcPr>
          <w:p w:rsidR="00AC6B35" w:rsidRDefault="00AC6B35" w:rsidP="0055103A">
            <w:pPr>
              <w:spacing w:after="120"/>
              <w:contextualSpacing/>
              <w:jc w:val="both"/>
              <w:rPr>
                <w:b/>
              </w:rPr>
            </w:pPr>
            <w:r w:rsidRPr="00FB4349">
              <w:rPr>
                <w:b/>
              </w:rPr>
              <w:t>“Conformity assessment in technical regulations”</w:t>
            </w:r>
          </w:p>
          <w:p w:rsidR="000F5991" w:rsidRDefault="000F5991" w:rsidP="0055103A">
            <w:pPr>
              <w:spacing w:after="120"/>
              <w:contextualSpacing/>
              <w:jc w:val="both"/>
            </w:pPr>
          </w:p>
          <w:p w:rsidR="000F5991" w:rsidRDefault="000F5991" w:rsidP="0055103A">
            <w:pPr>
              <w:spacing w:after="120"/>
              <w:contextualSpacing/>
              <w:jc w:val="both"/>
            </w:pPr>
            <w:r>
              <w:t xml:space="preserve">Abstract: </w:t>
            </w:r>
          </w:p>
          <w:p w:rsidR="000F5991" w:rsidRDefault="000F5991" w:rsidP="0055103A">
            <w:pPr>
              <w:spacing w:after="120"/>
              <w:contextualSpacing/>
              <w:jc w:val="both"/>
            </w:pPr>
          </w:p>
          <w:p w:rsidR="000F5991" w:rsidRDefault="0078214A" w:rsidP="0055103A">
            <w:pPr>
              <w:spacing w:after="120"/>
              <w:contextualSpacing/>
              <w:jc w:val="both"/>
            </w:pPr>
            <w:r>
              <w:t>Governments may use c</w:t>
            </w:r>
            <w:r w:rsidR="000F5991">
              <w:t xml:space="preserve">onformity assessment in the regulatory process to </w:t>
            </w:r>
            <w:r>
              <w:t>help as</w:t>
            </w:r>
            <w:r w:rsidR="000F5991">
              <w:t xml:space="preserve">sure fair commerce and to </w:t>
            </w:r>
            <w:r>
              <w:t xml:space="preserve">protect </w:t>
            </w:r>
            <w:r w:rsidR="000F5991">
              <w:t xml:space="preserve">safety, health and </w:t>
            </w:r>
            <w:r>
              <w:t xml:space="preserve">the </w:t>
            </w:r>
            <w:r w:rsidR="000F5991">
              <w:t>environment. Presentatio</w:t>
            </w:r>
            <w:r w:rsidR="009A0F6F">
              <w:t xml:space="preserve">ns in this session will </w:t>
            </w:r>
            <w:r w:rsidR="009C0B83">
              <w:t xml:space="preserve">provide an overview of </w:t>
            </w:r>
            <w:r>
              <w:t xml:space="preserve">conformity assessment in </w:t>
            </w:r>
            <w:r w:rsidR="009C0B83">
              <w:t xml:space="preserve">U.S., and African (both regional and national) regulatory processes. Speakers will also </w:t>
            </w:r>
            <w:r w:rsidR="009A0F6F">
              <w:t xml:space="preserve">discuss </w:t>
            </w:r>
            <w:r w:rsidR="009C0B83">
              <w:t xml:space="preserve">considerations </w:t>
            </w:r>
            <w:r>
              <w:t xml:space="preserve">such as </w:t>
            </w:r>
            <w:r w:rsidR="009C0B83">
              <w:t xml:space="preserve">good regulatory practice, cost, risk, competition, design and ownership, surveillance, access to competent resources and the </w:t>
            </w:r>
            <w:r w:rsidR="009A0F6F">
              <w:t>public-private partnership involved</w:t>
            </w:r>
            <w:r w:rsidR="009C0B83">
              <w:t xml:space="preserve"> throughout. </w:t>
            </w:r>
            <w:r w:rsidR="009A0F6F">
              <w:t xml:space="preserve">Case studies </w:t>
            </w:r>
            <w:r w:rsidR="003A68DF">
              <w:t xml:space="preserve">based on specific sectors and regulatory agencies, </w:t>
            </w:r>
            <w:r w:rsidR="009C0B83">
              <w:t>relevant to</w:t>
            </w:r>
            <w:r w:rsidR="009A0F6F">
              <w:t xml:space="preserve"> U.S. and Africa</w:t>
            </w:r>
            <w:r w:rsidR="003A68DF">
              <w:t>,</w:t>
            </w:r>
            <w:r w:rsidR="009A0F6F">
              <w:t xml:space="preserve"> will be provided. </w:t>
            </w:r>
            <w:r w:rsidR="000F5991">
              <w:t xml:space="preserve"> </w:t>
            </w:r>
          </w:p>
          <w:p w:rsidR="003A68DF" w:rsidRDefault="003A68DF" w:rsidP="0055103A">
            <w:pPr>
              <w:spacing w:after="120"/>
              <w:contextualSpacing/>
              <w:jc w:val="both"/>
            </w:pPr>
          </w:p>
          <w:p w:rsidR="003A68DF" w:rsidRPr="000F5991" w:rsidRDefault="003A68DF" w:rsidP="0055103A">
            <w:pPr>
              <w:spacing w:after="120"/>
              <w:contextualSpacing/>
              <w:jc w:val="both"/>
            </w:pPr>
            <w:r>
              <w:t>Speakers:</w:t>
            </w:r>
          </w:p>
          <w:p w:rsidR="00DB64D4" w:rsidRDefault="00DB64D4" w:rsidP="00DB64D4">
            <w:pPr>
              <w:pStyle w:val="ListParagraph"/>
              <w:numPr>
                <w:ilvl w:val="0"/>
                <w:numId w:val="1"/>
              </w:numPr>
              <w:spacing w:after="120"/>
              <w:jc w:val="both"/>
            </w:pPr>
            <w:r>
              <w:t xml:space="preserve">Mr. Christopher </w:t>
            </w:r>
            <w:proofErr w:type="spellStart"/>
            <w:r>
              <w:t>Lindsay,</w:t>
            </w:r>
            <w:r w:rsidR="00B45B0A">
              <w:t>Manager</w:t>
            </w:r>
            <w:proofErr w:type="spellEnd"/>
            <w:r w:rsidR="00B45B0A">
              <w:t xml:space="preserve"> of Government Relations, </w:t>
            </w:r>
            <w:r>
              <w:t xml:space="preserve"> IAPMO Group</w:t>
            </w:r>
          </w:p>
          <w:p w:rsidR="00C02C63" w:rsidRDefault="00DB64D4" w:rsidP="00DB64D4">
            <w:pPr>
              <w:pStyle w:val="ListParagraph"/>
              <w:numPr>
                <w:ilvl w:val="1"/>
                <w:numId w:val="1"/>
              </w:numPr>
              <w:spacing w:after="120"/>
              <w:jc w:val="both"/>
            </w:pPr>
            <w:r>
              <w:t>“IAPMO perspectives on conformity assessment in technical regulations”(30 minutes + 5 minutes Q&amp;A)</w:t>
            </w:r>
          </w:p>
        </w:tc>
      </w:tr>
      <w:tr w:rsidR="00C02C63" w:rsidTr="00FB4349">
        <w:tc>
          <w:tcPr>
            <w:tcW w:w="1818" w:type="dxa"/>
          </w:tcPr>
          <w:p w:rsidR="00C02C63" w:rsidRDefault="00C02C63" w:rsidP="00DB64D4">
            <w:pPr>
              <w:spacing w:after="120"/>
              <w:contextualSpacing/>
            </w:pPr>
            <w:r>
              <w:t>4:</w:t>
            </w:r>
            <w:r w:rsidR="00DB64D4">
              <w:t>0</w:t>
            </w:r>
            <w:r>
              <w:t xml:space="preserve">0 – </w:t>
            </w:r>
            <w:r w:rsidR="00DB64D4">
              <w:t>4:15</w:t>
            </w:r>
            <w:r>
              <w:t>pm</w:t>
            </w:r>
          </w:p>
        </w:tc>
        <w:tc>
          <w:tcPr>
            <w:tcW w:w="7758" w:type="dxa"/>
          </w:tcPr>
          <w:p w:rsidR="00C02C63" w:rsidRPr="00FB4349" w:rsidRDefault="00C02C63" w:rsidP="00FB4349">
            <w:pPr>
              <w:spacing w:after="120"/>
              <w:rPr>
                <w:b/>
              </w:rPr>
            </w:pPr>
            <w:r w:rsidRPr="00FB4349">
              <w:rPr>
                <w:b/>
              </w:rPr>
              <w:t>Wrap up and closing remarks</w:t>
            </w:r>
          </w:p>
        </w:tc>
      </w:tr>
    </w:tbl>
    <w:p w:rsidR="00567F8E" w:rsidRDefault="00567F8E" w:rsidP="00FB4349"/>
    <w:sectPr w:rsidR="00567F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34" w:rsidRDefault="00857F34" w:rsidP="00525D94">
      <w:pPr>
        <w:spacing w:after="0" w:line="240" w:lineRule="auto"/>
      </w:pPr>
      <w:r>
        <w:separator/>
      </w:r>
    </w:p>
  </w:endnote>
  <w:endnote w:type="continuationSeparator" w:id="0">
    <w:p w:rsidR="00857F34" w:rsidRDefault="00857F34" w:rsidP="0052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34" w:rsidRDefault="00857F34" w:rsidP="00525D94">
      <w:pPr>
        <w:spacing w:after="0" w:line="240" w:lineRule="auto"/>
      </w:pPr>
      <w:r>
        <w:separator/>
      </w:r>
    </w:p>
  </w:footnote>
  <w:footnote w:type="continuationSeparator" w:id="0">
    <w:p w:rsidR="00857F34" w:rsidRDefault="00857F34" w:rsidP="00525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94" w:rsidRDefault="00525D94">
    <w:pPr>
      <w:pStyle w:val="Header"/>
      <w:rPr>
        <w:rFonts w:ascii="Calibri" w:hAnsi="Calibri"/>
        <w:noProof/>
      </w:rPr>
    </w:pPr>
    <w:r>
      <w:rPr>
        <w:rFonts w:ascii="Calibri" w:hAnsi="Calibri"/>
        <w:b/>
        <w:noProof/>
        <w:lang w:eastAsia="en-US"/>
      </w:rPr>
      <w:drawing>
        <wp:inline distT="0" distB="0" distL="0" distR="0" wp14:anchorId="259FC1B0" wp14:editId="7CD640BF">
          <wp:extent cx="1504950" cy="558490"/>
          <wp:effectExtent l="0" t="0" r="0" b="0"/>
          <wp:docPr id="2" name="Picture 2" descr="standards_alliance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s_alliance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38" cy="558486"/>
                  </a:xfrm>
                  <a:prstGeom prst="rect">
                    <a:avLst/>
                  </a:prstGeom>
                  <a:noFill/>
                  <a:ln>
                    <a:noFill/>
                  </a:ln>
                </pic:spPr>
              </pic:pic>
            </a:graphicData>
          </a:graphic>
        </wp:inline>
      </w:drawing>
    </w:r>
    <w:r>
      <w:rPr>
        <w:rFonts w:ascii="Calibri" w:hAnsi="Calibri"/>
        <w:noProof/>
      </w:rPr>
      <w:t xml:space="preserve"> </w:t>
    </w:r>
    <w:r>
      <w:rPr>
        <w:rFonts w:ascii="Calibri" w:hAnsi="Calibri"/>
        <w:noProof/>
        <w:lang w:eastAsia="en-US"/>
      </w:rPr>
      <w:drawing>
        <wp:inline distT="0" distB="0" distL="0" distR="0" wp14:anchorId="427EC7FD" wp14:editId="14CAFE45">
          <wp:extent cx="1619250" cy="514350"/>
          <wp:effectExtent l="0" t="0" r="0" b="0"/>
          <wp:docPr id="42" name="Picture 42" descr="hands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log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5597" cy="519543"/>
                  </a:xfrm>
                  <a:prstGeom prst="rect">
                    <a:avLst/>
                  </a:prstGeom>
                  <a:noFill/>
                  <a:ln>
                    <a:noFill/>
                  </a:ln>
                </pic:spPr>
              </pic:pic>
            </a:graphicData>
          </a:graphic>
        </wp:inline>
      </w:drawing>
    </w:r>
    <w:r>
      <w:rPr>
        <w:rFonts w:ascii="Calibri" w:hAnsi="Calibri"/>
        <w:noProof/>
      </w:rPr>
      <w:t xml:space="preserve">           </w:t>
    </w:r>
    <w:r>
      <w:rPr>
        <w:noProof/>
        <w:lang w:eastAsia="en-US"/>
      </w:rPr>
      <w:drawing>
        <wp:inline distT="0" distB="0" distL="0" distR="0" wp14:anchorId="345598BE" wp14:editId="52D18445">
          <wp:extent cx="800100" cy="828817"/>
          <wp:effectExtent l="0" t="0" r="0" b="9525"/>
          <wp:docPr id="7" name="Picture 7" descr="http://www.ecomarkafrica.com/images/AR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markafrica.com/images/ARSO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2346" t="12346" r="11112" b="13581"/>
                  <a:stretch/>
                </pic:blipFill>
                <pic:spPr bwMode="auto">
                  <a:xfrm>
                    <a:off x="0" y="0"/>
                    <a:ext cx="800100" cy="8288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rPr>
      <w:t xml:space="preserve">      </w:t>
    </w:r>
    <w:r>
      <w:rPr>
        <w:noProof/>
        <w:lang w:eastAsia="en-US"/>
      </w:rPr>
      <w:drawing>
        <wp:inline distT="0" distB="0" distL="0" distR="0">
          <wp:extent cx="1362075" cy="613608"/>
          <wp:effectExtent l="0" t="0" r="0" b="0"/>
          <wp:docPr id="3" name="Picture 3" descr="Logo P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T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613608"/>
                  </a:xfrm>
                  <a:prstGeom prst="rect">
                    <a:avLst/>
                  </a:prstGeom>
                  <a:noFill/>
                  <a:ln>
                    <a:noFill/>
                  </a:ln>
                </pic:spPr>
              </pic:pic>
            </a:graphicData>
          </a:graphic>
        </wp:inline>
      </w:drawing>
    </w:r>
  </w:p>
  <w:p w:rsidR="0078214A" w:rsidRDefault="00782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779"/>
    <w:multiLevelType w:val="hybridMultilevel"/>
    <w:tmpl w:val="F710D038"/>
    <w:lvl w:ilvl="0" w:tplc="A9D849B4">
      <w:start w:val="2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54F38"/>
    <w:multiLevelType w:val="hybridMultilevel"/>
    <w:tmpl w:val="9DF2BF78"/>
    <w:lvl w:ilvl="0" w:tplc="B22CCA62">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mogene Nsengimana">
    <w15:presenceInfo w15:providerId="None" w15:userId="hermogene Nsengi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94"/>
    <w:rsid w:val="00010C0B"/>
    <w:rsid w:val="0007716F"/>
    <w:rsid w:val="000F5991"/>
    <w:rsid w:val="00250058"/>
    <w:rsid w:val="002A2546"/>
    <w:rsid w:val="003A68DF"/>
    <w:rsid w:val="00446E93"/>
    <w:rsid w:val="004849C0"/>
    <w:rsid w:val="00525D94"/>
    <w:rsid w:val="0055103A"/>
    <w:rsid w:val="00567F8E"/>
    <w:rsid w:val="00615BEE"/>
    <w:rsid w:val="00631802"/>
    <w:rsid w:val="0078214A"/>
    <w:rsid w:val="007B055D"/>
    <w:rsid w:val="007D4992"/>
    <w:rsid w:val="00805374"/>
    <w:rsid w:val="00814F52"/>
    <w:rsid w:val="00857F34"/>
    <w:rsid w:val="00882220"/>
    <w:rsid w:val="00904BCF"/>
    <w:rsid w:val="009A0F6F"/>
    <w:rsid w:val="009C0B83"/>
    <w:rsid w:val="009E7935"/>
    <w:rsid w:val="009F2370"/>
    <w:rsid w:val="00A84EE4"/>
    <w:rsid w:val="00AC6B35"/>
    <w:rsid w:val="00B11DE6"/>
    <w:rsid w:val="00B45B0A"/>
    <w:rsid w:val="00B655B9"/>
    <w:rsid w:val="00C02C63"/>
    <w:rsid w:val="00C908E7"/>
    <w:rsid w:val="00D95033"/>
    <w:rsid w:val="00DB64D4"/>
    <w:rsid w:val="00EF5844"/>
    <w:rsid w:val="00EF7095"/>
    <w:rsid w:val="00F742FA"/>
    <w:rsid w:val="00FB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94"/>
  </w:style>
  <w:style w:type="paragraph" w:styleId="Footer">
    <w:name w:val="footer"/>
    <w:basedOn w:val="Normal"/>
    <w:link w:val="FooterChar"/>
    <w:uiPriority w:val="99"/>
    <w:unhideWhenUsed/>
    <w:rsid w:val="0052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94"/>
  </w:style>
  <w:style w:type="paragraph" w:styleId="BalloonText">
    <w:name w:val="Balloon Text"/>
    <w:basedOn w:val="Normal"/>
    <w:link w:val="BalloonTextChar"/>
    <w:uiPriority w:val="99"/>
    <w:semiHidden/>
    <w:unhideWhenUsed/>
    <w:rsid w:val="0052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94"/>
    <w:rPr>
      <w:rFonts w:ascii="Tahoma" w:hAnsi="Tahoma" w:cs="Tahoma"/>
      <w:sz w:val="16"/>
      <w:szCs w:val="16"/>
    </w:rPr>
  </w:style>
  <w:style w:type="table" w:styleId="TableGrid">
    <w:name w:val="Table Grid"/>
    <w:basedOn w:val="TableNormal"/>
    <w:uiPriority w:val="59"/>
    <w:rsid w:val="0056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F8E"/>
    <w:pPr>
      <w:ind w:left="720"/>
      <w:contextualSpacing/>
    </w:pPr>
  </w:style>
  <w:style w:type="paragraph" w:styleId="Date">
    <w:name w:val="Date"/>
    <w:basedOn w:val="Normal"/>
    <w:next w:val="Normal"/>
    <w:link w:val="DateChar"/>
    <w:uiPriority w:val="99"/>
    <w:semiHidden/>
    <w:unhideWhenUsed/>
    <w:rsid w:val="00631802"/>
  </w:style>
  <w:style w:type="character" w:customStyle="1" w:styleId="DateChar">
    <w:name w:val="Date Char"/>
    <w:basedOn w:val="DefaultParagraphFont"/>
    <w:link w:val="Date"/>
    <w:uiPriority w:val="99"/>
    <w:semiHidden/>
    <w:rsid w:val="00631802"/>
  </w:style>
  <w:style w:type="paragraph" w:customStyle="1" w:styleId="Pa1">
    <w:name w:val="Pa1"/>
    <w:basedOn w:val="Normal"/>
    <w:next w:val="Normal"/>
    <w:uiPriority w:val="99"/>
    <w:rsid w:val="00615BEE"/>
    <w:pPr>
      <w:autoSpaceDE w:val="0"/>
      <w:autoSpaceDN w:val="0"/>
      <w:adjustRightInd w:val="0"/>
      <w:spacing w:after="0" w:line="241" w:lineRule="atLeast"/>
    </w:pPr>
    <w:rPr>
      <w:rFonts w:ascii="ITC Stone Sans Std Medium" w:hAnsi="ITC Stone Sans Std Medium"/>
      <w:sz w:val="24"/>
      <w:szCs w:val="24"/>
      <w:lang w:val="de-DE"/>
    </w:rPr>
  </w:style>
  <w:style w:type="character" w:customStyle="1" w:styleId="A0">
    <w:name w:val="A0"/>
    <w:uiPriority w:val="99"/>
    <w:rsid w:val="00615BEE"/>
    <w:rPr>
      <w:rFonts w:cs="ITC Stone Sans Std Mediu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94"/>
  </w:style>
  <w:style w:type="paragraph" w:styleId="Footer">
    <w:name w:val="footer"/>
    <w:basedOn w:val="Normal"/>
    <w:link w:val="FooterChar"/>
    <w:uiPriority w:val="99"/>
    <w:unhideWhenUsed/>
    <w:rsid w:val="00525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94"/>
  </w:style>
  <w:style w:type="paragraph" w:styleId="BalloonText">
    <w:name w:val="Balloon Text"/>
    <w:basedOn w:val="Normal"/>
    <w:link w:val="BalloonTextChar"/>
    <w:uiPriority w:val="99"/>
    <w:semiHidden/>
    <w:unhideWhenUsed/>
    <w:rsid w:val="0052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94"/>
    <w:rPr>
      <w:rFonts w:ascii="Tahoma" w:hAnsi="Tahoma" w:cs="Tahoma"/>
      <w:sz w:val="16"/>
      <w:szCs w:val="16"/>
    </w:rPr>
  </w:style>
  <w:style w:type="table" w:styleId="TableGrid">
    <w:name w:val="Table Grid"/>
    <w:basedOn w:val="TableNormal"/>
    <w:uiPriority w:val="59"/>
    <w:rsid w:val="0056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F8E"/>
    <w:pPr>
      <w:ind w:left="720"/>
      <w:contextualSpacing/>
    </w:pPr>
  </w:style>
  <w:style w:type="paragraph" w:styleId="Date">
    <w:name w:val="Date"/>
    <w:basedOn w:val="Normal"/>
    <w:next w:val="Normal"/>
    <w:link w:val="DateChar"/>
    <w:uiPriority w:val="99"/>
    <w:semiHidden/>
    <w:unhideWhenUsed/>
    <w:rsid w:val="00631802"/>
  </w:style>
  <w:style w:type="character" w:customStyle="1" w:styleId="DateChar">
    <w:name w:val="Date Char"/>
    <w:basedOn w:val="DefaultParagraphFont"/>
    <w:link w:val="Date"/>
    <w:uiPriority w:val="99"/>
    <w:semiHidden/>
    <w:rsid w:val="00631802"/>
  </w:style>
  <w:style w:type="paragraph" w:customStyle="1" w:styleId="Pa1">
    <w:name w:val="Pa1"/>
    <w:basedOn w:val="Normal"/>
    <w:next w:val="Normal"/>
    <w:uiPriority w:val="99"/>
    <w:rsid w:val="00615BEE"/>
    <w:pPr>
      <w:autoSpaceDE w:val="0"/>
      <w:autoSpaceDN w:val="0"/>
      <w:adjustRightInd w:val="0"/>
      <w:spacing w:after="0" w:line="241" w:lineRule="atLeast"/>
    </w:pPr>
    <w:rPr>
      <w:rFonts w:ascii="ITC Stone Sans Std Medium" w:hAnsi="ITC Stone Sans Std Medium"/>
      <w:sz w:val="24"/>
      <w:szCs w:val="24"/>
      <w:lang w:val="de-DE"/>
    </w:rPr>
  </w:style>
  <w:style w:type="character" w:customStyle="1" w:styleId="A0">
    <w:name w:val="A0"/>
    <w:uiPriority w:val="99"/>
    <w:rsid w:val="00615BEE"/>
    <w:rPr>
      <w:rFonts w:cs="ITC Stone Sans Std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4027882B-6197-433C-97D5-4219457084BB}"/>
</file>

<file path=customXml/itemProps2.xml><?xml version="1.0" encoding="utf-8"?>
<ds:datastoreItem xmlns:ds="http://schemas.openxmlformats.org/officeDocument/2006/customXml" ds:itemID="{14F6D45E-BFC5-4715-82EA-88A0F23BD7BB}"/>
</file>

<file path=customXml/itemProps3.xml><?xml version="1.0" encoding="utf-8"?>
<ds:datastoreItem xmlns:ds="http://schemas.openxmlformats.org/officeDocument/2006/customXml" ds:itemID="{4027882B-6197-433C-97D5-4219457084BB}"/>
</file>

<file path=customXml/itemProps4.xml><?xml version="1.0" encoding="utf-8"?>
<ds:datastoreItem xmlns:ds="http://schemas.openxmlformats.org/officeDocument/2006/customXml" ds:itemID="{1CF40288-9FC7-479C-AE6F-663C587260F7}"/>
</file>

<file path=customXml/itemProps5.xml><?xml version="1.0" encoding="utf-8"?>
<ds:datastoreItem xmlns:ds="http://schemas.openxmlformats.org/officeDocument/2006/customXml" ds:itemID="{946DAF8C-6499-4C35-A98E-C17D08522897}"/>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McDougall</dc:creator>
  <cp:lastModifiedBy>David Jankowski</cp:lastModifiedBy>
  <cp:revision>4</cp:revision>
  <dcterms:created xsi:type="dcterms:W3CDTF">2016-05-05T20:34:00Z</dcterms:created>
  <dcterms:modified xsi:type="dcterms:W3CDTF">2016-06-15T19:57:00Z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f99f2cc1-0e62-4640-b078-d1df4ce7459a</vt:lpwstr>
  </property>
</Properties>
</file>