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CE6B" w14:textId="59FEEE58" w:rsidR="00A63D33" w:rsidRPr="00AE3F01" w:rsidRDefault="000C779C" w:rsidP="000C779C">
      <w:pPr>
        <w:pStyle w:val="NormalWeb"/>
        <w:rPr>
          <w:color w:val="000000" w:themeColor="text1"/>
          <w:sz w:val="22"/>
          <w:szCs w:val="22"/>
        </w:rPr>
      </w:pPr>
      <w:r w:rsidRPr="00AE3F01">
        <w:rPr>
          <w:color w:val="000000" w:themeColor="text1"/>
          <w:sz w:val="22"/>
          <w:szCs w:val="22"/>
        </w:rPr>
        <w:t>Candidate Essay: Renewable Resources and Energy Systems Integration Impacts on Standard Adoption</w:t>
      </w:r>
    </w:p>
    <w:p w14:paraId="6515A13F" w14:textId="5F3EC5C1" w:rsidR="00B76CCD" w:rsidRDefault="00AE3F01" w:rsidP="00CE6337">
      <w:pPr>
        <w:pStyle w:val="NormalWeb"/>
        <w:rPr>
          <w:color w:val="000000" w:themeColor="text1"/>
          <w:sz w:val="22"/>
          <w:szCs w:val="22"/>
        </w:rPr>
      </w:pPr>
      <w:r>
        <w:rPr>
          <w:color w:val="000000" w:themeColor="text1"/>
          <w:sz w:val="22"/>
          <w:szCs w:val="22"/>
        </w:rPr>
        <w:t xml:space="preserve">International electrotechnical standards play a crucial role in shaping the future of energy systems and decarbonization efforts globally. </w:t>
      </w:r>
      <w:r w:rsidR="00B76CCD">
        <w:rPr>
          <w:color w:val="000000" w:themeColor="text1"/>
          <w:sz w:val="22"/>
          <w:szCs w:val="22"/>
        </w:rPr>
        <w:t xml:space="preserve">As countries, organizations, and industries strive to achieve net-zero carbon emissions by 2050, the focus of international electrotechnical standards should consider renewable energy, hybrid power plants, and integrated energy systems. </w:t>
      </w:r>
    </w:p>
    <w:p w14:paraId="330B58F0" w14:textId="0541B448" w:rsidR="00B8119B" w:rsidRPr="00AE3F01" w:rsidRDefault="00CE6337" w:rsidP="00CE6337">
      <w:pPr>
        <w:pStyle w:val="NormalWeb"/>
        <w:rPr>
          <w:rFonts w:eastAsia="Calibri"/>
          <w:color w:val="000000" w:themeColor="text1"/>
          <w:sz w:val="22"/>
          <w:szCs w:val="22"/>
        </w:rPr>
      </w:pPr>
      <w:r w:rsidRPr="00AE3F01">
        <w:rPr>
          <w:color w:val="000000" w:themeColor="text1"/>
          <w:sz w:val="22"/>
          <w:szCs w:val="22"/>
        </w:rPr>
        <w:t>The European Union, China, and the Unites States</w:t>
      </w:r>
      <w:r w:rsidRPr="00AE3F01">
        <w:rPr>
          <w:color w:val="000000" w:themeColor="text1"/>
          <w:sz w:val="22"/>
          <w:szCs w:val="22"/>
        </w:rPr>
        <w:t xml:space="preserve"> (U.S.)</w:t>
      </w:r>
      <w:r w:rsidR="00B76CCD">
        <w:rPr>
          <w:color w:val="000000" w:themeColor="text1"/>
          <w:sz w:val="22"/>
          <w:szCs w:val="22"/>
        </w:rPr>
        <w:t xml:space="preserve">, and </w:t>
      </w:r>
      <w:r w:rsidR="00F4678F">
        <w:rPr>
          <w:color w:val="000000" w:themeColor="text1"/>
          <w:sz w:val="22"/>
          <w:szCs w:val="22"/>
        </w:rPr>
        <w:t>90</w:t>
      </w:r>
      <w:r w:rsidR="00B76CCD">
        <w:rPr>
          <w:color w:val="000000" w:themeColor="text1"/>
          <w:sz w:val="22"/>
          <w:szCs w:val="22"/>
        </w:rPr>
        <w:t xml:space="preserve"> other countries have committed to achieving </w:t>
      </w:r>
      <w:r w:rsidRPr="00AE3F01">
        <w:rPr>
          <w:color w:val="000000" w:themeColor="text1"/>
          <w:sz w:val="22"/>
          <w:szCs w:val="22"/>
        </w:rPr>
        <w:t>net-zero carbon emissions by 2050</w:t>
      </w:r>
      <w:r w:rsidR="00F4678F">
        <w:rPr>
          <w:color w:val="000000" w:themeColor="text1"/>
          <w:sz w:val="22"/>
          <w:szCs w:val="22"/>
        </w:rPr>
        <w:t xml:space="preserve">, with countless </w:t>
      </w:r>
      <w:r w:rsidRPr="00AE3F01">
        <w:rPr>
          <w:color w:val="000000" w:themeColor="text1"/>
          <w:sz w:val="22"/>
          <w:szCs w:val="22"/>
        </w:rPr>
        <w:t xml:space="preserve">companies, states, regions, and organizations </w:t>
      </w:r>
      <w:r w:rsidR="00F4678F">
        <w:rPr>
          <w:color w:val="000000" w:themeColor="text1"/>
          <w:sz w:val="22"/>
          <w:szCs w:val="22"/>
        </w:rPr>
        <w:t>also</w:t>
      </w:r>
      <w:r w:rsidRPr="00AE3F01">
        <w:rPr>
          <w:color w:val="000000" w:themeColor="text1"/>
          <w:sz w:val="22"/>
          <w:szCs w:val="22"/>
        </w:rPr>
        <w:t xml:space="preserve"> </w:t>
      </w:r>
      <w:r w:rsidR="00F4678F" w:rsidRPr="00AE3F01">
        <w:rPr>
          <w:color w:val="000000" w:themeColor="text1"/>
          <w:sz w:val="22"/>
          <w:szCs w:val="22"/>
        </w:rPr>
        <w:t>commit</w:t>
      </w:r>
      <w:r w:rsidR="00F4678F">
        <w:rPr>
          <w:color w:val="000000" w:themeColor="text1"/>
          <w:sz w:val="22"/>
          <w:szCs w:val="22"/>
        </w:rPr>
        <w:t>ting</w:t>
      </w:r>
      <w:r w:rsidRPr="00AE3F01">
        <w:rPr>
          <w:color w:val="000000" w:themeColor="text1"/>
          <w:sz w:val="22"/>
          <w:szCs w:val="22"/>
        </w:rPr>
        <w:t xml:space="preserve"> to decarbonize.</w:t>
      </w:r>
      <w:r w:rsidRPr="00AE3F01">
        <w:rPr>
          <w:color w:val="000000" w:themeColor="text1"/>
          <w:sz w:val="22"/>
          <w:szCs w:val="22"/>
        </w:rPr>
        <w:t xml:space="preserve"> </w:t>
      </w:r>
      <w:r w:rsidRPr="00AE3F01">
        <w:rPr>
          <w:color w:val="000000" w:themeColor="text1"/>
          <w:sz w:val="22"/>
          <w:szCs w:val="22"/>
        </w:rPr>
        <w:t>To achieve decarbonization at the scale and pace required to meet these targets, future energy systems will need renewable energy to serve 100% of the existing direct electricity demand, support additional electrification, and decarbonize the wider economy</w:t>
      </w:r>
      <w:r w:rsidR="00AA351C" w:rsidRPr="00AE3F01">
        <w:rPr>
          <w:color w:val="000000" w:themeColor="text1"/>
          <w:sz w:val="22"/>
          <w:szCs w:val="22"/>
        </w:rPr>
        <w:t xml:space="preserve"> across diverse geo-political landscapes and cultures</w:t>
      </w:r>
      <w:r w:rsidRPr="00AE3F01">
        <w:rPr>
          <w:color w:val="000000" w:themeColor="text1"/>
          <w:sz w:val="22"/>
          <w:szCs w:val="22"/>
        </w:rPr>
        <w:t xml:space="preserve">. </w:t>
      </w:r>
      <w:r w:rsidRPr="00AE3F01">
        <w:rPr>
          <w:color w:val="000000" w:themeColor="text1"/>
          <w:sz w:val="22"/>
          <w:szCs w:val="22"/>
        </w:rPr>
        <w:t xml:space="preserve">Inter-regional transmission is limited in many countries and is prohibitively expensive and time-intensive to build. Even ambitious plans </w:t>
      </w:r>
      <w:r w:rsidR="00B76CCD">
        <w:rPr>
          <w:color w:val="000000" w:themeColor="text1"/>
          <w:sz w:val="22"/>
          <w:szCs w:val="22"/>
        </w:rPr>
        <w:t>like</w:t>
      </w:r>
      <w:r w:rsidRPr="00AE3F01">
        <w:rPr>
          <w:color w:val="000000" w:themeColor="text1"/>
          <w:sz w:val="22"/>
          <w:szCs w:val="22"/>
        </w:rPr>
        <w:t xml:space="preserve"> the North Sea Wind Power Hub</w:t>
      </w:r>
      <w:r w:rsidR="005E30C6" w:rsidRPr="00AE3F01">
        <w:rPr>
          <w:color w:val="000000" w:themeColor="text1"/>
          <w:sz w:val="22"/>
          <w:szCs w:val="22"/>
        </w:rPr>
        <w:t xml:space="preserve"> [1]</w:t>
      </w:r>
      <w:r w:rsidR="00B76CCD">
        <w:rPr>
          <w:color w:val="000000" w:themeColor="text1"/>
          <w:sz w:val="22"/>
          <w:szCs w:val="22"/>
        </w:rPr>
        <w:t>, aimed at facilitating international transmission, are not expected to</w:t>
      </w:r>
      <w:r w:rsidRPr="00AE3F01">
        <w:rPr>
          <w:color w:val="000000" w:themeColor="text1"/>
          <w:sz w:val="22"/>
          <w:szCs w:val="22"/>
        </w:rPr>
        <w:t xml:space="preserve"> be completed until after 2030. </w:t>
      </w:r>
      <w:r w:rsidR="00F4678F">
        <w:rPr>
          <w:color w:val="000000" w:themeColor="text1"/>
          <w:sz w:val="22"/>
          <w:szCs w:val="22"/>
        </w:rPr>
        <w:t>H</w:t>
      </w:r>
      <w:r w:rsidRPr="00AE3F01">
        <w:rPr>
          <w:color w:val="000000" w:themeColor="text1"/>
          <w:sz w:val="22"/>
          <w:szCs w:val="22"/>
        </w:rPr>
        <w:t>ybrid power plants</w:t>
      </w:r>
      <w:r w:rsidR="004A1A15" w:rsidRPr="00AE3F01">
        <w:rPr>
          <w:color w:val="000000" w:themeColor="text1"/>
          <w:sz w:val="22"/>
          <w:szCs w:val="22"/>
        </w:rPr>
        <w:t xml:space="preserve"> </w:t>
      </w:r>
      <w:r w:rsidR="008C6297" w:rsidRPr="00AE3F01">
        <w:rPr>
          <w:color w:val="000000" w:themeColor="text1"/>
          <w:sz w:val="22"/>
          <w:szCs w:val="22"/>
        </w:rPr>
        <w:t>that</w:t>
      </w:r>
      <w:r w:rsidRPr="00AE3F01">
        <w:rPr>
          <w:color w:val="000000" w:themeColor="text1"/>
          <w:sz w:val="22"/>
          <w:szCs w:val="22"/>
        </w:rPr>
        <w:t xml:space="preserve"> combine generation, storage, and end uses on-site to maximize efficiency of energy use have the potential to avoid stranded assets and maximize the use of existing interconnections, as well as contribute to decarbonization across </w:t>
      </w:r>
      <w:r w:rsidR="00B8119B" w:rsidRPr="00AE3F01">
        <w:rPr>
          <w:color w:val="000000" w:themeColor="text1"/>
          <w:sz w:val="22"/>
          <w:szCs w:val="22"/>
        </w:rPr>
        <w:t>sectors (</w:t>
      </w:r>
      <w:r w:rsidR="008C6297" w:rsidRPr="00AE3F01">
        <w:rPr>
          <w:color w:val="000000" w:themeColor="text1"/>
          <w:sz w:val="22"/>
          <w:szCs w:val="22"/>
        </w:rPr>
        <w:t xml:space="preserve">including </w:t>
      </w:r>
      <w:r w:rsidR="00B8119B" w:rsidRPr="00AE3F01">
        <w:rPr>
          <w:color w:val="000000" w:themeColor="text1"/>
          <w:sz w:val="22"/>
          <w:szCs w:val="22"/>
        </w:rPr>
        <w:t xml:space="preserve">transportation, industry, agriculture, and building energy use). </w:t>
      </w:r>
      <w:r w:rsidR="00AE3F01">
        <w:rPr>
          <w:color w:val="000000" w:themeColor="text1"/>
          <w:sz w:val="22"/>
          <w:szCs w:val="22"/>
        </w:rPr>
        <w:t>Tomorrow’s electrotechnical standards and conformity assessment community has a massive opportunity to facilitate the safe, efficient development of these hybrid power plants and integrated energy systems.</w:t>
      </w:r>
    </w:p>
    <w:p w14:paraId="3CB5B334" w14:textId="3F1CDE12" w:rsidR="009A0AE8" w:rsidRPr="00AE3F01" w:rsidRDefault="00B8119B" w:rsidP="00B8119B">
      <w:pPr>
        <w:pStyle w:val="NormalWeb"/>
        <w:rPr>
          <w:color w:val="000000" w:themeColor="text1"/>
          <w:sz w:val="22"/>
          <w:szCs w:val="22"/>
        </w:rPr>
      </w:pPr>
      <w:r w:rsidRPr="00AE3F01">
        <w:rPr>
          <w:color w:val="000000" w:themeColor="text1"/>
          <w:sz w:val="22"/>
          <w:szCs w:val="22"/>
        </w:rPr>
        <w:t>While hybrid power plants are not a new concept, their application is increasing and expanding</w:t>
      </w:r>
      <w:r w:rsidR="00907B6F" w:rsidRPr="00AE3F01">
        <w:rPr>
          <w:color w:val="000000" w:themeColor="text1"/>
          <w:sz w:val="22"/>
          <w:szCs w:val="22"/>
        </w:rPr>
        <w:t>, driven not only by decarbonization goals, but also by transmission constraints, market competition, and ancillary grid services benefits</w:t>
      </w:r>
      <w:r w:rsidRPr="00AE3F01">
        <w:rPr>
          <w:color w:val="000000" w:themeColor="text1"/>
          <w:sz w:val="22"/>
          <w:szCs w:val="22"/>
        </w:rPr>
        <w:t>.</w:t>
      </w:r>
      <w:r w:rsidR="00B65655" w:rsidRPr="00AE3F01">
        <w:rPr>
          <w:rStyle w:val="FootnoteReference"/>
          <w:rFonts w:eastAsia="Calibri"/>
          <w:color w:val="000000" w:themeColor="text1"/>
          <w:sz w:val="22"/>
          <w:szCs w:val="22"/>
        </w:rPr>
        <w:footnoteReference w:id="1"/>
      </w:r>
      <w:r w:rsidRPr="00AE3F01">
        <w:rPr>
          <w:color w:val="000000" w:themeColor="text1"/>
          <w:sz w:val="22"/>
          <w:szCs w:val="22"/>
        </w:rPr>
        <w:t xml:space="preserve"> </w:t>
      </w:r>
      <w:r w:rsidR="009A0AE8" w:rsidRPr="00AE3F01">
        <w:rPr>
          <w:rFonts w:eastAsia="Calibri"/>
          <w:color w:val="000000" w:themeColor="text1"/>
          <w:sz w:val="22"/>
          <w:szCs w:val="22"/>
        </w:rPr>
        <w:t xml:space="preserve">Developers </w:t>
      </w:r>
      <w:r w:rsidR="00B76CCD">
        <w:rPr>
          <w:rFonts w:eastAsia="Calibri"/>
          <w:color w:val="000000" w:themeColor="text1"/>
          <w:sz w:val="22"/>
          <w:szCs w:val="22"/>
        </w:rPr>
        <w:t xml:space="preserve">face lengthy interconnection queues and escalating upfront costs despite the </w:t>
      </w:r>
      <w:r w:rsidR="00036C4C" w:rsidRPr="00AE3F01">
        <w:rPr>
          <w:rFonts w:eastAsia="Calibri"/>
          <w:color w:val="000000" w:themeColor="text1"/>
          <w:sz w:val="22"/>
          <w:szCs w:val="22"/>
        </w:rPr>
        <w:t>falling costs for battery, solar, and wind technologies</w:t>
      </w:r>
      <w:r w:rsidR="009A0AE8" w:rsidRPr="00AE3F01">
        <w:rPr>
          <w:rFonts w:eastAsia="Calibri"/>
          <w:color w:val="000000" w:themeColor="text1"/>
          <w:sz w:val="22"/>
          <w:szCs w:val="22"/>
        </w:rPr>
        <w:t>. Paired with recent increase</w:t>
      </w:r>
      <w:r w:rsidR="00646AB6">
        <w:rPr>
          <w:rFonts w:eastAsia="Calibri"/>
          <w:color w:val="000000" w:themeColor="text1"/>
          <w:sz w:val="22"/>
          <w:szCs w:val="22"/>
        </w:rPr>
        <w:t>s</w:t>
      </w:r>
      <w:r w:rsidR="009A0AE8" w:rsidRPr="00AE3F01">
        <w:rPr>
          <w:rFonts w:eastAsia="Calibri"/>
          <w:color w:val="000000" w:themeColor="text1"/>
          <w:sz w:val="22"/>
          <w:szCs w:val="22"/>
        </w:rPr>
        <w:t xml:space="preserve"> in market competition (which will continue as renewable energy generation penetration increases), wherein power purchase agreements have sharply declined in price, this has made project financing increasingly difficult, and has increased the impact of resource uncertainty risk [</w:t>
      </w:r>
      <w:r w:rsidR="00646AB6">
        <w:rPr>
          <w:rFonts w:eastAsia="Calibri"/>
          <w:color w:val="000000" w:themeColor="text1"/>
          <w:sz w:val="22"/>
          <w:szCs w:val="22"/>
        </w:rPr>
        <w:t>2</w:t>
      </w:r>
      <w:r w:rsidR="009A0AE8" w:rsidRPr="00AE3F01">
        <w:rPr>
          <w:rFonts w:eastAsia="Calibri"/>
          <w:color w:val="000000" w:themeColor="text1"/>
          <w:sz w:val="22"/>
          <w:szCs w:val="22"/>
        </w:rPr>
        <w:t>]. These drivers incentivize hybrid plant developers to leverage the complementarity of disparate generation resources</w:t>
      </w:r>
      <w:r w:rsidR="009A0AE8" w:rsidRPr="00AE3F01">
        <w:rPr>
          <w:rFonts w:eastAsia="Calibri"/>
          <w:color w:val="000000" w:themeColor="text1"/>
          <w:sz w:val="22"/>
          <w:szCs w:val="22"/>
        </w:rPr>
        <w:t xml:space="preserve"> and the flexibility to dispatch energy at times when the grid needs it most (at times of high demand, low generation). This</w:t>
      </w:r>
      <w:r w:rsidR="009A0AE8" w:rsidRPr="00AE3F01">
        <w:rPr>
          <w:rFonts w:eastAsia="Calibri"/>
          <w:color w:val="000000" w:themeColor="text1"/>
          <w:sz w:val="22"/>
          <w:szCs w:val="22"/>
        </w:rPr>
        <w:t xml:space="preserve"> helps mitigate some project financing risk</w:t>
      </w:r>
      <w:r w:rsidR="009A0AE8" w:rsidRPr="00AE3F01">
        <w:rPr>
          <w:rFonts w:eastAsia="Calibri"/>
          <w:color w:val="000000" w:themeColor="text1"/>
          <w:sz w:val="22"/>
          <w:szCs w:val="22"/>
        </w:rPr>
        <w:t xml:space="preserve"> and provides an attractive alternate “hedge” to</w:t>
      </w:r>
      <w:r w:rsidR="009A0AE8" w:rsidRPr="00AE3F01">
        <w:rPr>
          <w:rFonts w:eastAsia="Calibri"/>
          <w:color w:val="000000" w:themeColor="text1"/>
          <w:sz w:val="22"/>
          <w:szCs w:val="22"/>
        </w:rPr>
        <w:t xml:space="preserve"> in this new low-cost climate by reducing overall resource uncertainty</w:t>
      </w:r>
      <w:r w:rsidR="009A0AE8" w:rsidRPr="00AE3F01">
        <w:rPr>
          <w:rFonts w:eastAsia="Calibri"/>
          <w:color w:val="000000" w:themeColor="text1"/>
          <w:sz w:val="22"/>
          <w:szCs w:val="22"/>
        </w:rPr>
        <w:t xml:space="preserve">, optimizing dispatch for capture prices, </w:t>
      </w:r>
      <w:r w:rsidR="00646AB6">
        <w:rPr>
          <w:rFonts w:eastAsia="Calibri"/>
          <w:color w:val="000000" w:themeColor="text1"/>
          <w:sz w:val="22"/>
          <w:szCs w:val="22"/>
        </w:rPr>
        <w:t xml:space="preserve">and </w:t>
      </w:r>
      <w:r w:rsidR="009A0AE8" w:rsidRPr="00AE3F01">
        <w:rPr>
          <w:rFonts w:eastAsia="Calibri"/>
          <w:color w:val="000000" w:themeColor="text1"/>
          <w:sz w:val="22"/>
          <w:szCs w:val="22"/>
        </w:rPr>
        <w:t>adding grid services revenue</w:t>
      </w:r>
      <w:r w:rsidR="009A0AE8" w:rsidRPr="00AE3F01">
        <w:rPr>
          <w:rFonts w:eastAsia="Calibri"/>
          <w:color w:val="000000" w:themeColor="text1"/>
          <w:sz w:val="22"/>
          <w:szCs w:val="22"/>
        </w:rPr>
        <w:t xml:space="preserve"> in select markets</w:t>
      </w:r>
      <w:r w:rsidR="009A0AE8" w:rsidRPr="00AE3F01">
        <w:rPr>
          <w:rFonts w:eastAsia="Calibri"/>
          <w:color w:val="000000" w:themeColor="text1"/>
          <w:sz w:val="22"/>
          <w:szCs w:val="22"/>
        </w:rPr>
        <w:t xml:space="preserve">. Hybrid power plants also provide an opportunity to share building and infrastructure costs, capture otherwise clipped energy, and take advantage of </w:t>
      </w:r>
      <w:r w:rsidR="00646AB6">
        <w:rPr>
          <w:rFonts w:eastAsia="Calibri"/>
          <w:color w:val="000000" w:themeColor="text1"/>
          <w:sz w:val="22"/>
          <w:szCs w:val="22"/>
        </w:rPr>
        <w:t xml:space="preserve">available </w:t>
      </w:r>
      <w:r w:rsidR="009A0AE8" w:rsidRPr="00AE3F01">
        <w:rPr>
          <w:rFonts w:eastAsia="Calibri"/>
          <w:color w:val="000000" w:themeColor="text1"/>
          <w:sz w:val="22"/>
          <w:szCs w:val="22"/>
        </w:rPr>
        <w:t>federal incentives</w:t>
      </w:r>
      <w:r w:rsidR="009A0AE8" w:rsidRPr="00AE3F01">
        <w:rPr>
          <w:rFonts w:eastAsia="Calibri"/>
          <w:color w:val="000000" w:themeColor="text1"/>
          <w:sz w:val="22"/>
          <w:szCs w:val="22"/>
        </w:rPr>
        <w:t>.</w:t>
      </w:r>
    </w:p>
    <w:p w14:paraId="08B56149" w14:textId="3A99257E" w:rsidR="00346C6D" w:rsidRPr="00AE3F01" w:rsidRDefault="00B76CCD" w:rsidP="00B8119B">
      <w:pPr>
        <w:pStyle w:val="NormalWeb"/>
        <w:rPr>
          <w:rFonts w:eastAsia="Calibri"/>
          <w:color w:val="000000" w:themeColor="text1"/>
          <w:sz w:val="22"/>
          <w:szCs w:val="22"/>
        </w:rPr>
      </w:pPr>
      <w:r>
        <w:rPr>
          <w:rFonts w:eastAsia="Calibri"/>
          <w:color w:val="000000" w:themeColor="text1"/>
          <w:sz w:val="22"/>
          <w:szCs w:val="22"/>
        </w:rPr>
        <w:t>Developers</w:t>
      </w:r>
      <w:r w:rsidR="00F96F25" w:rsidRPr="00AE3F01">
        <w:rPr>
          <w:rFonts w:eastAsia="Calibri"/>
          <w:color w:val="000000" w:themeColor="text1"/>
          <w:sz w:val="22"/>
          <w:szCs w:val="22"/>
        </w:rPr>
        <w:t xml:space="preserve"> are </w:t>
      </w:r>
      <w:r w:rsidR="009708F8" w:rsidRPr="00AE3F01">
        <w:rPr>
          <w:rFonts w:eastAsia="Calibri"/>
          <w:color w:val="000000" w:themeColor="text1"/>
          <w:sz w:val="22"/>
          <w:szCs w:val="22"/>
        </w:rPr>
        <w:t xml:space="preserve">increasingly </w:t>
      </w:r>
      <w:r>
        <w:rPr>
          <w:rFonts w:eastAsia="Calibri"/>
          <w:color w:val="000000" w:themeColor="text1"/>
          <w:sz w:val="22"/>
          <w:szCs w:val="22"/>
        </w:rPr>
        <w:t>exploring the integration of</w:t>
      </w:r>
      <w:r w:rsidR="00F96F25" w:rsidRPr="00AE3F01">
        <w:rPr>
          <w:rFonts w:eastAsia="Calibri"/>
          <w:color w:val="000000" w:themeColor="text1"/>
          <w:sz w:val="22"/>
          <w:szCs w:val="22"/>
        </w:rPr>
        <w:t xml:space="preserve"> hybrid power plants with end uses beyond electricity</w:t>
      </w:r>
      <w:r>
        <w:rPr>
          <w:rFonts w:eastAsia="Calibri"/>
          <w:color w:val="000000" w:themeColor="text1"/>
          <w:sz w:val="22"/>
          <w:szCs w:val="22"/>
        </w:rPr>
        <w:t>. This approach</w:t>
      </w:r>
      <w:r w:rsidR="00036C4C" w:rsidRPr="00AE3F01">
        <w:rPr>
          <w:rFonts w:eastAsia="Calibri"/>
          <w:color w:val="000000" w:themeColor="text1"/>
          <w:sz w:val="22"/>
          <w:szCs w:val="22"/>
        </w:rPr>
        <w:t xml:space="preserve"> enabl</w:t>
      </w:r>
      <w:r>
        <w:rPr>
          <w:rFonts w:eastAsia="Calibri"/>
          <w:color w:val="000000" w:themeColor="text1"/>
          <w:sz w:val="22"/>
          <w:szCs w:val="22"/>
        </w:rPr>
        <w:t>es</w:t>
      </w:r>
      <w:r w:rsidR="00036C4C" w:rsidRPr="00AE3F01">
        <w:rPr>
          <w:rFonts w:eastAsia="Calibri"/>
          <w:color w:val="000000" w:themeColor="text1"/>
          <w:sz w:val="22"/>
          <w:szCs w:val="22"/>
        </w:rPr>
        <w:t xml:space="preserve"> reliable profit from offtake agreements</w:t>
      </w:r>
      <w:r w:rsidR="009708F8" w:rsidRPr="00AE3F01">
        <w:rPr>
          <w:rFonts w:eastAsia="Calibri"/>
          <w:color w:val="000000" w:themeColor="text1"/>
          <w:sz w:val="22"/>
          <w:szCs w:val="22"/>
        </w:rPr>
        <w:t xml:space="preserve"> and </w:t>
      </w:r>
      <w:r w:rsidR="0075229F">
        <w:rPr>
          <w:rFonts w:eastAsia="Calibri"/>
          <w:color w:val="000000" w:themeColor="text1"/>
          <w:sz w:val="22"/>
          <w:szCs w:val="22"/>
        </w:rPr>
        <w:t>eliminates the need for extensive transmission infrastructure</w:t>
      </w:r>
      <w:r w:rsidR="00F96F25" w:rsidRPr="00AE3F01">
        <w:rPr>
          <w:rFonts w:eastAsia="Calibri"/>
          <w:color w:val="000000" w:themeColor="text1"/>
          <w:sz w:val="22"/>
          <w:szCs w:val="22"/>
        </w:rPr>
        <w:t>. Power-to-X concepts</w:t>
      </w:r>
      <w:r w:rsidR="0075229F">
        <w:rPr>
          <w:rFonts w:eastAsia="Calibri"/>
          <w:color w:val="000000" w:themeColor="text1"/>
          <w:sz w:val="22"/>
          <w:szCs w:val="22"/>
        </w:rPr>
        <w:t>, such as hydrogen production,</w:t>
      </w:r>
      <w:r w:rsidR="00F96F25" w:rsidRPr="00AE3F01">
        <w:rPr>
          <w:rFonts w:eastAsia="Calibri"/>
          <w:color w:val="000000" w:themeColor="text1"/>
          <w:sz w:val="22"/>
          <w:szCs w:val="22"/>
        </w:rPr>
        <w:t xml:space="preserve"> provide flexibility and </w:t>
      </w:r>
      <w:r w:rsidR="0075229F">
        <w:rPr>
          <w:rFonts w:eastAsia="Calibri"/>
          <w:color w:val="000000" w:themeColor="text1"/>
          <w:sz w:val="22"/>
          <w:szCs w:val="22"/>
        </w:rPr>
        <w:t>support the</w:t>
      </w:r>
      <w:r w:rsidR="00F96F25" w:rsidRPr="00AE3F01">
        <w:rPr>
          <w:rFonts w:eastAsia="Calibri"/>
          <w:color w:val="000000" w:themeColor="text1"/>
          <w:sz w:val="22"/>
          <w:szCs w:val="22"/>
        </w:rPr>
        <w:t xml:space="preserve"> decarbonization of </w:t>
      </w:r>
      <w:r w:rsidR="0075229F">
        <w:rPr>
          <w:rFonts w:eastAsia="Calibri"/>
          <w:color w:val="000000" w:themeColor="text1"/>
          <w:sz w:val="22"/>
          <w:szCs w:val="22"/>
        </w:rPr>
        <w:t xml:space="preserve">hard-to-abate </w:t>
      </w:r>
      <w:r w:rsidR="00F96F25" w:rsidRPr="00AE3F01">
        <w:rPr>
          <w:rFonts w:eastAsia="Calibri"/>
          <w:color w:val="000000" w:themeColor="text1"/>
          <w:sz w:val="22"/>
          <w:szCs w:val="22"/>
        </w:rPr>
        <w:t xml:space="preserve">industries </w:t>
      </w:r>
      <w:r w:rsidR="00F96F25" w:rsidRPr="00AE3F01">
        <w:rPr>
          <w:rFonts w:eastAsia="Calibri"/>
          <w:color w:val="000000" w:themeColor="text1"/>
          <w:sz w:val="22"/>
          <w:szCs w:val="22"/>
        </w:rPr>
        <w:t>(such as ammonia, steel, heavy transport, shipping, and cement/concrete</w:t>
      </w:r>
      <w:r w:rsidR="0075229F">
        <w:rPr>
          <w:rFonts w:eastAsia="Calibri"/>
          <w:color w:val="000000" w:themeColor="text1"/>
          <w:sz w:val="22"/>
          <w:szCs w:val="22"/>
        </w:rPr>
        <w:t xml:space="preserve">) and </w:t>
      </w:r>
      <w:r w:rsidR="00F96F25" w:rsidRPr="00AE3F01">
        <w:rPr>
          <w:rFonts w:eastAsia="Calibri"/>
          <w:color w:val="000000" w:themeColor="text1"/>
          <w:sz w:val="22"/>
          <w:szCs w:val="22"/>
        </w:rPr>
        <w:t>provide opportunity for efficiency increases</w:t>
      </w:r>
      <w:r w:rsidR="0075229F">
        <w:rPr>
          <w:rFonts w:eastAsia="Calibri"/>
          <w:color w:val="000000" w:themeColor="text1"/>
          <w:sz w:val="22"/>
          <w:szCs w:val="22"/>
        </w:rPr>
        <w:t xml:space="preserve"> and risk</w:t>
      </w:r>
      <w:r w:rsidR="00F96F25" w:rsidRPr="00AE3F01">
        <w:rPr>
          <w:rFonts w:eastAsia="Calibri"/>
          <w:color w:val="000000" w:themeColor="text1"/>
          <w:sz w:val="22"/>
          <w:szCs w:val="22"/>
        </w:rPr>
        <w:t xml:space="preserve"> reduc</w:t>
      </w:r>
      <w:r w:rsidR="0075229F">
        <w:rPr>
          <w:rFonts w:eastAsia="Calibri"/>
          <w:color w:val="000000" w:themeColor="text1"/>
          <w:sz w:val="22"/>
          <w:szCs w:val="22"/>
        </w:rPr>
        <w:t>tion</w:t>
      </w:r>
      <w:r w:rsidR="00F96F25" w:rsidRPr="00AE3F01">
        <w:rPr>
          <w:rFonts w:eastAsia="Calibri"/>
          <w:color w:val="000000" w:themeColor="text1"/>
          <w:sz w:val="22"/>
          <w:szCs w:val="22"/>
        </w:rPr>
        <w:t xml:space="preserve">. For instance, </w:t>
      </w:r>
      <w:r w:rsidR="00F96F25" w:rsidRPr="00AE3F01">
        <w:rPr>
          <w:rFonts w:eastAsia="Calibri"/>
          <w:color w:val="000000" w:themeColor="text1"/>
          <w:sz w:val="22"/>
          <w:szCs w:val="22"/>
        </w:rPr>
        <w:t>design and operation of a hydrogen-producing hybrid power plant with a steel fabrication facility</w:t>
      </w:r>
      <w:r w:rsidR="00F96F25" w:rsidRPr="00AE3F01">
        <w:rPr>
          <w:rFonts w:eastAsia="Calibri"/>
          <w:color w:val="000000" w:themeColor="text1"/>
          <w:sz w:val="22"/>
          <w:szCs w:val="22"/>
        </w:rPr>
        <w:t xml:space="preserve"> can reduce the risk to people, planet, and profit by minimizing hydrogen compression and storage, which can be difficult, expensive, and hazard</w:t>
      </w:r>
      <w:r w:rsidR="00346C6D" w:rsidRPr="00AE3F01">
        <w:rPr>
          <w:rFonts w:eastAsia="Calibri"/>
          <w:color w:val="000000" w:themeColor="text1"/>
          <w:sz w:val="22"/>
          <w:szCs w:val="22"/>
        </w:rPr>
        <w:t>ous</w:t>
      </w:r>
      <w:r w:rsidR="00F96F25" w:rsidRPr="00AE3F01">
        <w:rPr>
          <w:rFonts w:eastAsia="Calibri"/>
          <w:color w:val="000000" w:themeColor="text1"/>
          <w:sz w:val="22"/>
          <w:szCs w:val="22"/>
        </w:rPr>
        <w:t xml:space="preserve">. </w:t>
      </w:r>
      <w:r w:rsidR="0075229F">
        <w:rPr>
          <w:rFonts w:eastAsia="Calibri"/>
          <w:color w:val="000000" w:themeColor="text1"/>
          <w:sz w:val="22"/>
          <w:szCs w:val="22"/>
        </w:rPr>
        <w:t xml:space="preserve">Furthermore, offshore deployment of these integrated energy systems capitalizes on the vast renewable energy sources available, including offshore wind, marine hydrokinetic, and floating solar photovoltaic technologies, that </w:t>
      </w:r>
      <w:r w:rsidR="00036C4C" w:rsidRPr="00AE3F01">
        <w:rPr>
          <w:color w:val="000000" w:themeColor="text1"/>
          <w:sz w:val="22"/>
          <w:szCs w:val="22"/>
        </w:rPr>
        <w:t xml:space="preserve">can deliver the scale and </w:t>
      </w:r>
      <w:r w:rsidR="00036C4C" w:rsidRPr="00AE3F01">
        <w:rPr>
          <w:color w:val="000000" w:themeColor="text1"/>
          <w:sz w:val="22"/>
          <w:szCs w:val="22"/>
        </w:rPr>
        <w:lastRenderedPageBreak/>
        <w:t>flexibility necessary to transform the energy sector</w:t>
      </w:r>
      <w:r w:rsidR="00036C4C" w:rsidRPr="00AE3F01">
        <w:rPr>
          <w:color w:val="000000" w:themeColor="text1"/>
          <w:sz w:val="22"/>
          <w:szCs w:val="22"/>
        </w:rPr>
        <w:t xml:space="preserve"> and</w:t>
      </w:r>
      <w:r w:rsidR="00036C4C" w:rsidRPr="00AE3F01">
        <w:rPr>
          <w:color w:val="000000" w:themeColor="text1"/>
          <w:sz w:val="22"/>
          <w:szCs w:val="22"/>
        </w:rPr>
        <w:t xml:space="preserve"> achieve enhanced cost and performance efficiencies while addressing other key challenges </w:t>
      </w:r>
      <w:r w:rsidR="00036C4C" w:rsidRPr="00AE3F01">
        <w:rPr>
          <w:color w:val="000000" w:themeColor="text1"/>
          <w:sz w:val="22"/>
          <w:szCs w:val="22"/>
        </w:rPr>
        <w:t xml:space="preserve">like </w:t>
      </w:r>
      <w:r w:rsidR="00036C4C" w:rsidRPr="00AE3F01">
        <w:rPr>
          <w:color w:val="000000" w:themeColor="text1"/>
          <w:sz w:val="22"/>
          <w:szCs w:val="22"/>
        </w:rPr>
        <w:t>carbon capture, clean water, and food production</w:t>
      </w:r>
      <w:r w:rsidR="00036C4C" w:rsidRPr="00AE3F01">
        <w:rPr>
          <w:color w:val="000000" w:themeColor="text1"/>
          <w:sz w:val="22"/>
          <w:szCs w:val="22"/>
        </w:rPr>
        <w:t xml:space="preserve">. </w:t>
      </w:r>
      <w:r w:rsidR="00646AB6">
        <w:rPr>
          <w:color w:val="000000" w:themeColor="text1"/>
          <w:sz w:val="22"/>
          <w:szCs w:val="22"/>
        </w:rPr>
        <w:t>However, o</w:t>
      </w:r>
      <w:r w:rsidR="00036C4C" w:rsidRPr="00AE3F01">
        <w:rPr>
          <w:color w:val="000000" w:themeColor="text1"/>
          <w:sz w:val="22"/>
          <w:szCs w:val="22"/>
        </w:rPr>
        <w:t xml:space="preserve">ffshore projects </w:t>
      </w:r>
      <w:r w:rsidR="00346C6D" w:rsidRPr="00AE3F01">
        <w:rPr>
          <w:rFonts w:eastAsia="Calibri"/>
          <w:color w:val="000000" w:themeColor="text1"/>
          <w:sz w:val="22"/>
          <w:szCs w:val="22"/>
        </w:rPr>
        <w:t>requir</w:t>
      </w:r>
      <w:r w:rsidR="00036C4C" w:rsidRPr="00AE3F01">
        <w:rPr>
          <w:rFonts w:eastAsia="Calibri"/>
          <w:color w:val="000000" w:themeColor="text1"/>
          <w:sz w:val="22"/>
          <w:szCs w:val="22"/>
        </w:rPr>
        <w:t>e</w:t>
      </w:r>
      <w:r w:rsidR="00346C6D" w:rsidRPr="00AE3F01">
        <w:rPr>
          <w:rFonts w:eastAsia="Calibri"/>
          <w:color w:val="000000" w:themeColor="text1"/>
          <w:sz w:val="22"/>
          <w:szCs w:val="22"/>
        </w:rPr>
        <w:t xml:space="preserve"> inter-regional and </w:t>
      </w:r>
      <w:r w:rsidR="009708F8" w:rsidRPr="00AE3F01">
        <w:rPr>
          <w:rFonts w:eastAsia="Calibri"/>
          <w:color w:val="000000" w:themeColor="text1"/>
          <w:sz w:val="22"/>
          <w:szCs w:val="22"/>
        </w:rPr>
        <w:t>inter</w:t>
      </w:r>
      <w:r w:rsidR="00346C6D" w:rsidRPr="00AE3F01">
        <w:rPr>
          <w:rFonts w:eastAsia="Calibri"/>
          <w:color w:val="000000" w:themeColor="text1"/>
          <w:sz w:val="22"/>
          <w:szCs w:val="22"/>
        </w:rPr>
        <w:t>national coordination</w:t>
      </w:r>
      <w:r w:rsidR="00036C4C" w:rsidRPr="00AE3F01">
        <w:rPr>
          <w:rFonts w:eastAsia="Calibri"/>
          <w:color w:val="000000" w:themeColor="text1"/>
          <w:sz w:val="22"/>
          <w:szCs w:val="22"/>
        </w:rPr>
        <w:t xml:space="preserve">, and (because of their complexity and inaccessibility) </w:t>
      </w:r>
      <w:r w:rsidR="00646AB6">
        <w:rPr>
          <w:rFonts w:eastAsia="Calibri"/>
          <w:color w:val="000000" w:themeColor="text1"/>
          <w:sz w:val="22"/>
          <w:szCs w:val="22"/>
        </w:rPr>
        <w:t>are only feasible with advanced</w:t>
      </w:r>
      <w:r w:rsidR="009708F8" w:rsidRPr="00AE3F01">
        <w:rPr>
          <w:rFonts w:eastAsia="Calibri"/>
          <w:color w:val="000000" w:themeColor="text1"/>
          <w:sz w:val="22"/>
          <w:szCs w:val="22"/>
        </w:rPr>
        <w:t xml:space="preserve"> technologies such as </w:t>
      </w:r>
      <w:r w:rsidR="00346C6D" w:rsidRPr="00AE3F01">
        <w:rPr>
          <w:rFonts w:eastAsia="Calibri"/>
          <w:color w:val="000000" w:themeColor="text1"/>
          <w:sz w:val="22"/>
          <w:szCs w:val="22"/>
        </w:rPr>
        <w:t>digitalization</w:t>
      </w:r>
      <w:r w:rsidR="009708F8" w:rsidRPr="00AE3F01">
        <w:rPr>
          <w:rFonts w:eastAsia="Calibri"/>
          <w:color w:val="000000" w:themeColor="text1"/>
          <w:sz w:val="22"/>
          <w:szCs w:val="22"/>
        </w:rPr>
        <w:t>, cybersecurity, and automation</w:t>
      </w:r>
      <w:r w:rsidR="00346C6D" w:rsidRPr="00AE3F01">
        <w:rPr>
          <w:rFonts w:eastAsia="Calibri"/>
          <w:color w:val="000000" w:themeColor="text1"/>
          <w:sz w:val="22"/>
          <w:szCs w:val="22"/>
        </w:rPr>
        <w:t xml:space="preserve"> to </w:t>
      </w:r>
      <w:r w:rsidR="0075229F">
        <w:rPr>
          <w:rFonts w:eastAsia="Calibri"/>
          <w:color w:val="000000" w:themeColor="text1"/>
          <w:sz w:val="22"/>
          <w:szCs w:val="22"/>
        </w:rPr>
        <w:t xml:space="preserve">optimize performance and </w:t>
      </w:r>
      <w:r w:rsidR="00346C6D" w:rsidRPr="00AE3F01">
        <w:rPr>
          <w:rFonts w:eastAsia="Calibri"/>
          <w:color w:val="000000" w:themeColor="text1"/>
          <w:sz w:val="22"/>
          <w:szCs w:val="22"/>
        </w:rPr>
        <w:t xml:space="preserve">reduce risk. </w:t>
      </w:r>
    </w:p>
    <w:p w14:paraId="54BA9788" w14:textId="4B380E3C" w:rsidR="006C28EA" w:rsidRPr="00AE3F01" w:rsidRDefault="00346C6D" w:rsidP="0075229F">
      <w:pPr>
        <w:pStyle w:val="NormalWeb"/>
        <w:rPr>
          <w:rFonts w:eastAsia="Calibri"/>
          <w:color w:val="000000" w:themeColor="text1"/>
          <w:sz w:val="22"/>
          <w:szCs w:val="22"/>
        </w:rPr>
      </w:pPr>
      <w:r w:rsidRPr="00AE3F01">
        <w:rPr>
          <w:rFonts w:eastAsia="Calibri"/>
          <w:color w:val="000000" w:themeColor="text1"/>
          <w:sz w:val="22"/>
          <w:szCs w:val="22"/>
        </w:rPr>
        <w:t xml:space="preserve">To adequately support the integration of these </w:t>
      </w:r>
      <w:r w:rsidR="009708F8" w:rsidRPr="00AE3F01">
        <w:rPr>
          <w:rFonts w:eastAsia="Calibri"/>
          <w:color w:val="000000" w:themeColor="text1"/>
          <w:sz w:val="22"/>
          <w:szCs w:val="22"/>
        </w:rPr>
        <w:t xml:space="preserve">complex and multi-disciplinary </w:t>
      </w:r>
      <w:r w:rsidRPr="00AE3F01">
        <w:rPr>
          <w:rFonts w:eastAsia="Calibri"/>
          <w:color w:val="000000" w:themeColor="text1"/>
          <w:sz w:val="22"/>
          <w:szCs w:val="22"/>
        </w:rPr>
        <w:t>systems</w:t>
      </w:r>
      <w:r w:rsidR="009708F8" w:rsidRPr="00AE3F01">
        <w:rPr>
          <w:rFonts w:eastAsia="Calibri"/>
          <w:color w:val="000000" w:themeColor="text1"/>
          <w:sz w:val="22"/>
          <w:szCs w:val="22"/>
        </w:rPr>
        <w:t>, t</w:t>
      </w:r>
      <w:r w:rsidRPr="00AE3F01">
        <w:rPr>
          <w:rFonts w:eastAsia="Calibri"/>
          <w:color w:val="000000" w:themeColor="text1"/>
          <w:sz w:val="22"/>
          <w:szCs w:val="22"/>
        </w:rPr>
        <w:t xml:space="preserve">he standards and conformity assessment community </w:t>
      </w:r>
      <w:r w:rsidR="0075229F">
        <w:rPr>
          <w:rFonts w:eastAsia="Calibri"/>
          <w:color w:val="000000" w:themeColor="text1"/>
          <w:sz w:val="22"/>
          <w:szCs w:val="22"/>
        </w:rPr>
        <w:t xml:space="preserve">faces several challenges. Technology standards must be rapidly adapted to </w:t>
      </w:r>
      <w:r w:rsidRPr="00AE3F01">
        <w:rPr>
          <w:rFonts w:eastAsia="Calibri"/>
          <w:color w:val="000000" w:themeColor="text1"/>
          <w:sz w:val="22"/>
          <w:szCs w:val="22"/>
        </w:rPr>
        <w:t>changing market and technical context</w:t>
      </w:r>
      <w:r w:rsidR="0075229F">
        <w:rPr>
          <w:rFonts w:eastAsia="Calibri"/>
          <w:color w:val="000000" w:themeColor="text1"/>
          <w:sz w:val="22"/>
          <w:szCs w:val="22"/>
        </w:rPr>
        <w:t>s</w:t>
      </w:r>
      <w:r w:rsidRPr="00AE3F01">
        <w:rPr>
          <w:rFonts w:eastAsia="Calibri"/>
          <w:color w:val="000000" w:themeColor="text1"/>
          <w:sz w:val="22"/>
          <w:szCs w:val="22"/>
        </w:rPr>
        <w:t xml:space="preserve"> (even conventional technologies are being designed, operated, and applied in new ways)</w:t>
      </w:r>
      <w:r w:rsidR="0075229F">
        <w:rPr>
          <w:rFonts w:eastAsia="Calibri"/>
          <w:color w:val="000000" w:themeColor="text1"/>
          <w:sz w:val="22"/>
          <w:szCs w:val="22"/>
        </w:rPr>
        <w:t xml:space="preserve">. Coordination across </w:t>
      </w:r>
      <w:r w:rsidRPr="00AE3F01">
        <w:rPr>
          <w:rFonts w:eastAsia="Calibri"/>
          <w:color w:val="000000" w:themeColor="text1"/>
          <w:sz w:val="22"/>
          <w:szCs w:val="22"/>
        </w:rPr>
        <w:t xml:space="preserve">technical experts in disparate disciplines and committees </w:t>
      </w:r>
      <w:r w:rsidR="0075229F">
        <w:rPr>
          <w:rFonts w:eastAsia="Calibri"/>
          <w:color w:val="000000" w:themeColor="text1"/>
          <w:sz w:val="22"/>
          <w:szCs w:val="22"/>
        </w:rPr>
        <w:t xml:space="preserve">is essential </w:t>
      </w:r>
      <w:r w:rsidRPr="00AE3F01">
        <w:rPr>
          <w:rFonts w:eastAsia="Calibri"/>
          <w:color w:val="000000" w:themeColor="text1"/>
          <w:sz w:val="22"/>
          <w:szCs w:val="22"/>
        </w:rPr>
        <w:t>to account for integrated systems</w:t>
      </w:r>
      <w:r w:rsidR="0075229F">
        <w:rPr>
          <w:rFonts w:eastAsia="Calibri"/>
          <w:color w:val="000000" w:themeColor="text1"/>
          <w:sz w:val="22"/>
          <w:szCs w:val="22"/>
        </w:rPr>
        <w:t xml:space="preserve">. Moreover, </w:t>
      </w:r>
      <w:r w:rsidR="007D6652" w:rsidRPr="00AE3F01">
        <w:rPr>
          <w:rFonts w:eastAsia="Calibri"/>
          <w:color w:val="000000" w:themeColor="text1"/>
          <w:sz w:val="22"/>
          <w:szCs w:val="22"/>
        </w:rPr>
        <w:t xml:space="preserve">effectively incorporating cross-cutting standards (such as those for </w:t>
      </w:r>
      <w:r w:rsidR="00036C4C" w:rsidRPr="00AE3F01">
        <w:rPr>
          <w:rFonts w:eastAsia="Calibri"/>
          <w:color w:val="000000" w:themeColor="text1"/>
          <w:sz w:val="22"/>
          <w:szCs w:val="22"/>
        </w:rPr>
        <w:t xml:space="preserve">cybersecurity, </w:t>
      </w:r>
      <w:r w:rsidR="007D6652" w:rsidRPr="00AE3F01">
        <w:rPr>
          <w:rFonts w:eastAsia="Calibri"/>
          <w:color w:val="000000" w:themeColor="text1"/>
          <w:sz w:val="22"/>
          <w:szCs w:val="22"/>
        </w:rPr>
        <w:t xml:space="preserve">artificial intelligence, data, and digital technologies, as well as those that pertain to the </w:t>
      </w:r>
      <w:r w:rsidR="00036C4C" w:rsidRPr="00AE3F01">
        <w:rPr>
          <w:rFonts w:eastAsia="Calibri"/>
          <w:color w:val="000000" w:themeColor="text1"/>
          <w:sz w:val="22"/>
          <w:szCs w:val="22"/>
        </w:rPr>
        <w:t xml:space="preserve">safe, </w:t>
      </w:r>
      <w:r w:rsidR="007D6652" w:rsidRPr="00AE3F01">
        <w:rPr>
          <w:rFonts w:eastAsia="Calibri"/>
          <w:color w:val="000000" w:themeColor="text1"/>
          <w:sz w:val="22"/>
          <w:szCs w:val="22"/>
        </w:rPr>
        <w:t>equitable</w:t>
      </w:r>
      <w:r w:rsidR="00036C4C" w:rsidRPr="00AE3F01">
        <w:rPr>
          <w:rFonts w:eastAsia="Calibri"/>
          <w:color w:val="000000" w:themeColor="text1"/>
          <w:sz w:val="22"/>
          <w:szCs w:val="22"/>
        </w:rPr>
        <w:t>,</w:t>
      </w:r>
      <w:r w:rsidR="007D6652" w:rsidRPr="00AE3F01">
        <w:rPr>
          <w:rFonts w:eastAsia="Calibri"/>
          <w:color w:val="000000" w:themeColor="text1"/>
          <w:sz w:val="22"/>
          <w:szCs w:val="22"/>
        </w:rPr>
        <w:t xml:space="preserve"> and just application of technologies)</w:t>
      </w:r>
      <w:r w:rsidR="0075229F">
        <w:rPr>
          <w:rFonts w:eastAsia="Calibri"/>
          <w:color w:val="000000" w:themeColor="text1"/>
          <w:sz w:val="22"/>
          <w:szCs w:val="22"/>
        </w:rPr>
        <w:t xml:space="preserve"> are needed.</w:t>
      </w:r>
    </w:p>
    <w:p w14:paraId="199B6466" w14:textId="51636F41" w:rsidR="00685823" w:rsidRPr="00AE3F01" w:rsidRDefault="007D6652" w:rsidP="000C779C">
      <w:pPr>
        <w:pStyle w:val="NormalWeb"/>
        <w:rPr>
          <w:rFonts w:eastAsia="Calibri"/>
          <w:color w:val="000000" w:themeColor="text1"/>
          <w:sz w:val="22"/>
          <w:szCs w:val="22"/>
        </w:rPr>
      </w:pPr>
      <w:r w:rsidRPr="00AE3F01">
        <w:rPr>
          <w:rFonts w:eastAsia="Calibri"/>
          <w:color w:val="000000" w:themeColor="text1"/>
          <w:sz w:val="22"/>
          <w:szCs w:val="22"/>
        </w:rPr>
        <w:t xml:space="preserve">This requires </w:t>
      </w:r>
      <w:r w:rsidR="0075229F">
        <w:rPr>
          <w:rFonts w:eastAsia="Calibri"/>
          <w:color w:val="000000" w:themeColor="text1"/>
          <w:sz w:val="22"/>
          <w:szCs w:val="22"/>
        </w:rPr>
        <w:t>broad transparency, communication, and accessibility across</w:t>
      </w:r>
      <w:r w:rsidRPr="00AE3F01">
        <w:rPr>
          <w:rFonts w:eastAsia="Calibri"/>
          <w:color w:val="000000" w:themeColor="text1"/>
          <w:sz w:val="22"/>
          <w:szCs w:val="22"/>
        </w:rPr>
        <w:t xml:space="preserve"> the body of standards and conformity assessments that exist and are in-progress</w:t>
      </w:r>
      <w:r w:rsidR="0075229F">
        <w:rPr>
          <w:rFonts w:eastAsia="Calibri"/>
          <w:color w:val="000000" w:themeColor="text1"/>
          <w:sz w:val="22"/>
          <w:szCs w:val="22"/>
        </w:rPr>
        <w:t xml:space="preserve"> so that members can </w:t>
      </w:r>
      <w:r w:rsidR="00F4678F">
        <w:rPr>
          <w:rFonts w:eastAsia="Calibri"/>
          <w:color w:val="000000" w:themeColor="text1"/>
          <w:sz w:val="22"/>
          <w:szCs w:val="22"/>
        </w:rPr>
        <w:t>effectively collaborate</w:t>
      </w:r>
      <w:r w:rsidRPr="00AE3F01">
        <w:rPr>
          <w:rFonts w:eastAsia="Calibri"/>
          <w:color w:val="000000" w:themeColor="text1"/>
          <w:sz w:val="22"/>
          <w:szCs w:val="22"/>
        </w:rPr>
        <w:t xml:space="preserve"> to develop cross-references and consistency across documents.</w:t>
      </w:r>
      <w:r w:rsidR="009708F8" w:rsidRPr="00AE3F01">
        <w:rPr>
          <w:rFonts w:eastAsia="Calibri"/>
          <w:color w:val="000000" w:themeColor="text1"/>
          <w:sz w:val="22"/>
          <w:szCs w:val="22"/>
        </w:rPr>
        <w:t xml:space="preserve"> </w:t>
      </w:r>
      <w:r w:rsidR="00F4678F">
        <w:rPr>
          <w:rFonts w:eastAsia="Calibri"/>
          <w:color w:val="000000" w:themeColor="text1"/>
          <w:sz w:val="22"/>
          <w:szCs w:val="22"/>
        </w:rPr>
        <w:t xml:space="preserve">Furthermore, leadership engagement is vital to </w:t>
      </w:r>
      <w:r w:rsidR="009708F8" w:rsidRPr="00AE3F01">
        <w:rPr>
          <w:rFonts w:eastAsia="Calibri"/>
          <w:color w:val="000000" w:themeColor="text1"/>
          <w:sz w:val="22"/>
          <w:szCs w:val="22"/>
        </w:rPr>
        <w:t>ensure effective coordination.</w:t>
      </w:r>
      <w:r w:rsidR="00AE3F01">
        <w:rPr>
          <w:rFonts w:eastAsia="Calibri"/>
          <w:color w:val="000000" w:themeColor="text1"/>
          <w:sz w:val="22"/>
          <w:szCs w:val="22"/>
        </w:rPr>
        <w:t xml:space="preserve"> The </w:t>
      </w:r>
      <w:r w:rsidR="00F4678F">
        <w:rPr>
          <w:rFonts w:eastAsia="Calibri"/>
          <w:color w:val="000000" w:themeColor="text1"/>
          <w:sz w:val="22"/>
          <w:szCs w:val="22"/>
        </w:rPr>
        <w:t>electrotechnical</w:t>
      </w:r>
      <w:r w:rsidR="00AE3F01">
        <w:rPr>
          <w:rFonts w:eastAsia="Calibri"/>
          <w:color w:val="000000" w:themeColor="text1"/>
          <w:sz w:val="22"/>
          <w:szCs w:val="22"/>
        </w:rPr>
        <w:t xml:space="preserve"> standard </w:t>
      </w:r>
      <w:r w:rsidR="00F4678F">
        <w:rPr>
          <w:rFonts w:eastAsia="Calibri"/>
          <w:color w:val="000000" w:themeColor="text1"/>
          <w:sz w:val="22"/>
          <w:szCs w:val="22"/>
        </w:rPr>
        <w:t>community is</w:t>
      </w:r>
      <w:r w:rsidR="00AE3F01">
        <w:rPr>
          <w:rFonts w:eastAsia="Calibri"/>
          <w:color w:val="000000" w:themeColor="text1"/>
          <w:sz w:val="22"/>
          <w:szCs w:val="22"/>
        </w:rPr>
        <w:t xml:space="preserve"> uniquely positioned to provide guidance and clarity to a vast, emerging industry need that currently lacks standardization and conformity. </w:t>
      </w:r>
      <w:r w:rsidR="00F4678F">
        <w:rPr>
          <w:rFonts w:eastAsia="Calibri"/>
          <w:color w:val="000000" w:themeColor="text1"/>
          <w:sz w:val="22"/>
          <w:szCs w:val="22"/>
        </w:rPr>
        <w:t>These advancements are crucial for achieving global decarbonization targets, addressing transmission constraints, and capitalizing on the potential of integrated energy systems.</w:t>
      </w:r>
    </w:p>
    <w:p w14:paraId="6F434577" w14:textId="4F860D18" w:rsidR="009708F8" w:rsidRPr="00AE3F01" w:rsidRDefault="009708F8" w:rsidP="000C779C">
      <w:pPr>
        <w:pStyle w:val="NormalWeb"/>
        <w:rPr>
          <w:rFonts w:eastAsia="Calibri"/>
          <w:color w:val="000000" w:themeColor="text1"/>
          <w:sz w:val="22"/>
          <w:szCs w:val="22"/>
        </w:rPr>
      </w:pPr>
      <w:r w:rsidRPr="00AE3F01">
        <w:rPr>
          <w:rFonts w:eastAsia="Calibri"/>
          <w:color w:val="000000" w:themeColor="text1"/>
          <w:sz w:val="22"/>
          <w:szCs w:val="22"/>
        </w:rPr>
        <w:t>References:</w:t>
      </w:r>
    </w:p>
    <w:p w14:paraId="5249ADE6" w14:textId="3BA9A736" w:rsidR="005E30C6" w:rsidRPr="00AE3F01" w:rsidRDefault="00F96F25" w:rsidP="00F96F25">
      <w:pPr>
        <w:pStyle w:val="FootnoteText"/>
        <w:rPr>
          <w:rFonts w:ascii="Times New Roman" w:hAnsi="Times New Roman" w:cs="Times New Roman"/>
          <w:color w:val="000000" w:themeColor="text1"/>
          <w:sz w:val="22"/>
          <w:szCs w:val="22"/>
        </w:rPr>
      </w:pPr>
      <w:r w:rsidRPr="00AE3F01">
        <w:rPr>
          <w:rFonts w:ascii="Times New Roman" w:hAnsi="Times New Roman" w:cs="Times New Roman"/>
          <w:color w:val="000000" w:themeColor="text1"/>
          <w:sz w:val="22"/>
          <w:szCs w:val="22"/>
        </w:rPr>
        <w:t xml:space="preserve">[1] </w:t>
      </w:r>
      <w:r w:rsidR="005E30C6" w:rsidRPr="00AE3F01">
        <w:rPr>
          <w:rFonts w:ascii="Times New Roman" w:hAnsi="Times New Roman" w:cs="Times New Roman"/>
          <w:color w:val="000000" w:themeColor="text1"/>
          <w:sz w:val="22"/>
          <w:szCs w:val="22"/>
        </w:rPr>
        <w:t>North Sea Wind Pow</w:t>
      </w:r>
      <w:r w:rsidR="009708F8" w:rsidRPr="00AE3F01">
        <w:rPr>
          <w:rFonts w:ascii="Times New Roman" w:hAnsi="Times New Roman" w:cs="Times New Roman"/>
          <w:color w:val="000000" w:themeColor="text1"/>
          <w:sz w:val="22"/>
          <w:szCs w:val="22"/>
        </w:rPr>
        <w:t>e</w:t>
      </w:r>
      <w:r w:rsidR="005E30C6" w:rsidRPr="00AE3F01">
        <w:rPr>
          <w:rFonts w:ascii="Times New Roman" w:hAnsi="Times New Roman" w:cs="Times New Roman"/>
          <w:color w:val="000000" w:themeColor="text1"/>
          <w:sz w:val="22"/>
          <w:szCs w:val="22"/>
        </w:rPr>
        <w:t xml:space="preserve">r Hub </w:t>
      </w:r>
      <w:proofErr w:type="spellStart"/>
      <w:r w:rsidR="005E30C6" w:rsidRPr="00AE3F01">
        <w:rPr>
          <w:rFonts w:ascii="Times New Roman" w:hAnsi="Times New Roman" w:cs="Times New Roman"/>
          <w:color w:val="000000" w:themeColor="text1"/>
          <w:sz w:val="22"/>
          <w:szCs w:val="22"/>
        </w:rPr>
        <w:t>Programme</w:t>
      </w:r>
      <w:proofErr w:type="spellEnd"/>
      <w:r w:rsidR="005E30C6" w:rsidRPr="00AE3F01">
        <w:rPr>
          <w:rFonts w:ascii="Times New Roman" w:hAnsi="Times New Roman" w:cs="Times New Roman"/>
          <w:color w:val="000000" w:themeColor="text1"/>
          <w:sz w:val="22"/>
          <w:szCs w:val="22"/>
        </w:rPr>
        <w:t xml:space="preserve">, “Hubs and spokes–viable beyond theory: sharing of feasibility results,” </w:t>
      </w:r>
      <w:r w:rsidR="00C92B95" w:rsidRPr="00AE3F01">
        <w:rPr>
          <w:rFonts w:ascii="Times New Roman" w:hAnsi="Times New Roman" w:cs="Times New Roman"/>
          <w:i/>
          <w:iCs/>
          <w:color w:val="000000" w:themeColor="text1"/>
          <w:sz w:val="22"/>
          <w:szCs w:val="22"/>
        </w:rPr>
        <w:t>Technical Report</w:t>
      </w:r>
      <w:r w:rsidR="00C92B95" w:rsidRPr="00AE3F01">
        <w:rPr>
          <w:rFonts w:ascii="Times New Roman" w:hAnsi="Times New Roman" w:cs="Times New Roman"/>
          <w:color w:val="000000" w:themeColor="text1"/>
          <w:sz w:val="22"/>
          <w:szCs w:val="22"/>
        </w:rPr>
        <w:t xml:space="preserve">, url: </w:t>
      </w:r>
      <w:r w:rsidR="00C92B95" w:rsidRPr="00AE3F01">
        <w:rPr>
          <w:rFonts w:ascii="Times New Roman" w:hAnsi="Times New Roman" w:cs="Times New Roman"/>
          <w:color w:val="000000" w:themeColor="text1"/>
          <w:sz w:val="22"/>
          <w:szCs w:val="22"/>
        </w:rPr>
        <w:t>https://northseawindpowerhub.eu/knowledge/hubs-and-spokes-viable-beyond-theory</w:t>
      </w:r>
      <w:r w:rsidR="00C92B95" w:rsidRPr="00AE3F01">
        <w:rPr>
          <w:rFonts w:ascii="Times New Roman" w:hAnsi="Times New Roman" w:cs="Times New Roman"/>
          <w:color w:val="000000" w:themeColor="text1"/>
          <w:sz w:val="22"/>
          <w:szCs w:val="22"/>
        </w:rPr>
        <w:t>.</w:t>
      </w:r>
    </w:p>
    <w:p w14:paraId="45B53408" w14:textId="4E358B00" w:rsidR="00F96F25" w:rsidRPr="00AE3F01" w:rsidRDefault="005E30C6" w:rsidP="00F96F25">
      <w:pPr>
        <w:pStyle w:val="FootnoteText"/>
        <w:rPr>
          <w:rFonts w:ascii="Times New Roman" w:hAnsi="Times New Roman" w:cs="Times New Roman"/>
          <w:color w:val="000000" w:themeColor="text1"/>
          <w:sz w:val="22"/>
          <w:szCs w:val="22"/>
        </w:rPr>
      </w:pPr>
      <w:r w:rsidRPr="00AE3F01">
        <w:rPr>
          <w:rFonts w:ascii="Times New Roman" w:hAnsi="Times New Roman" w:cs="Times New Roman"/>
          <w:color w:val="000000" w:themeColor="text1"/>
          <w:sz w:val="22"/>
          <w:szCs w:val="22"/>
        </w:rPr>
        <w:t xml:space="preserve">[2] </w:t>
      </w:r>
      <w:r w:rsidR="00F96F25" w:rsidRPr="00AE3F01">
        <w:rPr>
          <w:rFonts w:ascii="Times New Roman" w:hAnsi="Times New Roman" w:cs="Times New Roman"/>
          <w:color w:val="000000" w:themeColor="text1"/>
          <w:sz w:val="22"/>
          <w:szCs w:val="22"/>
        </w:rPr>
        <w:t xml:space="preserve">J. </w:t>
      </w:r>
      <w:r w:rsidR="00F96F25" w:rsidRPr="00AE3F01">
        <w:rPr>
          <w:rFonts w:ascii="Times New Roman" w:eastAsia="Calibri" w:hAnsi="Times New Roman" w:cs="Times New Roman"/>
          <w:color w:val="000000" w:themeColor="text1"/>
          <w:sz w:val="22"/>
          <w:szCs w:val="22"/>
        </w:rPr>
        <w:t>Fields et al., “</w:t>
      </w:r>
      <w:r w:rsidR="00F96F25" w:rsidRPr="00AE3F01">
        <w:rPr>
          <w:rFonts w:ascii="Times New Roman" w:hAnsi="Times New Roman" w:cs="Times New Roman"/>
          <w:color w:val="000000" w:themeColor="text1"/>
          <w:sz w:val="22"/>
          <w:szCs w:val="22"/>
        </w:rPr>
        <w:t>Wind Plant Performance Prediction (WP3) Benchmark Introduction</w:t>
      </w:r>
      <w:r w:rsidR="00F96F25" w:rsidRPr="00AE3F01">
        <w:rPr>
          <w:rFonts w:ascii="Times New Roman" w:eastAsia="Calibri" w:hAnsi="Times New Roman" w:cs="Times New Roman"/>
          <w:color w:val="000000" w:themeColor="text1"/>
          <w:sz w:val="22"/>
          <w:szCs w:val="22"/>
        </w:rPr>
        <w:t xml:space="preserve">,” </w:t>
      </w:r>
      <w:r w:rsidR="00F96F25" w:rsidRPr="00AE3F01">
        <w:rPr>
          <w:rFonts w:ascii="Times New Roman" w:eastAsia="Calibri" w:hAnsi="Times New Roman" w:cs="Times New Roman"/>
          <w:i/>
          <w:iCs/>
          <w:color w:val="000000" w:themeColor="text1"/>
          <w:sz w:val="22"/>
          <w:szCs w:val="22"/>
        </w:rPr>
        <w:t>NREL Technical Report</w:t>
      </w:r>
      <w:r w:rsidR="00F96F25" w:rsidRPr="00AE3F01">
        <w:rPr>
          <w:rFonts w:ascii="Times New Roman" w:eastAsia="Calibri" w:hAnsi="Times New Roman" w:cs="Times New Roman"/>
          <w:color w:val="000000" w:themeColor="text1"/>
          <w:sz w:val="22"/>
          <w:szCs w:val="22"/>
        </w:rPr>
        <w:t>, 2019,</w:t>
      </w:r>
      <w:r w:rsidR="00F96F25" w:rsidRPr="00AE3F01">
        <w:rPr>
          <w:rFonts w:ascii="Times New Roman" w:eastAsia="Calibri" w:hAnsi="Times New Roman" w:cs="Times New Roman"/>
          <w:i/>
          <w:iCs/>
          <w:color w:val="000000" w:themeColor="text1"/>
          <w:sz w:val="22"/>
          <w:szCs w:val="22"/>
        </w:rPr>
        <w:t xml:space="preserve"> </w:t>
      </w:r>
      <w:r w:rsidR="00F96F25" w:rsidRPr="00AE3F01">
        <w:rPr>
          <w:rFonts w:ascii="Times New Roman" w:hAnsi="Times New Roman" w:cs="Times New Roman"/>
          <w:color w:val="000000" w:themeColor="text1"/>
          <w:sz w:val="22"/>
          <w:szCs w:val="22"/>
        </w:rPr>
        <w:t>NREL/PR-5000-74347, url: https://www.nrel.gov/docs/fy19osti/74347.pdf.</w:t>
      </w:r>
    </w:p>
    <w:p w14:paraId="5399F4A4" w14:textId="7D942C4E" w:rsidR="00F96F25" w:rsidRPr="00AE3F01" w:rsidRDefault="00F96F25" w:rsidP="00F96F25">
      <w:pPr>
        <w:rPr>
          <w:rFonts w:ascii="Times New Roman" w:hAnsi="Times New Roman" w:cs="Times New Roman"/>
          <w:color w:val="000000" w:themeColor="text1"/>
          <w:sz w:val="22"/>
          <w:szCs w:val="22"/>
        </w:rPr>
      </w:pPr>
      <w:r w:rsidRPr="00AE3F01">
        <w:rPr>
          <w:rFonts w:ascii="Times New Roman" w:hAnsi="Times New Roman" w:cs="Times New Roman"/>
          <w:color w:val="000000" w:themeColor="text1"/>
          <w:sz w:val="22"/>
          <w:szCs w:val="22"/>
        </w:rPr>
        <w:t>[</w:t>
      </w:r>
      <w:r w:rsidR="005E30C6" w:rsidRPr="00AE3F01">
        <w:rPr>
          <w:rFonts w:ascii="Times New Roman" w:hAnsi="Times New Roman" w:cs="Times New Roman"/>
          <w:color w:val="000000" w:themeColor="text1"/>
          <w:sz w:val="22"/>
          <w:szCs w:val="22"/>
        </w:rPr>
        <w:t>3</w:t>
      </w:r>
      <w:r w:rsidRPr="00AE3F01">
        <w:rPr>
          <w:rFonts w:ascii="Times New Roman" w:hAnsi="Times New Roman" w:cs="Times New Roman"/>
          <w:color w:val="000000" w:themeColor="text1"/>
          <w:sz w:val="22"/>
          <w:szCs w:val="22"/>
        </w:rPr>
        <w:t>] W. Gorman, et al., "Motivations and Options for Deploying Hybrid Generator-Plus-Battery Projects within the Bulk Power System," </w:t>
      </w:r>
      <w:r w:rsidRPr="00AE3F01">
        <w:rPr>
          <w:rFonts w:ascii="Times New Roman" w:hAnsi="Times New Roman" w:cs="Times New Roman"/>
          <w:i/>
          <w:color w:val="000000" w:themeColor="text1"/>
          <w:sz w:val="22"/>
          <w:szCs w:val="22"/>
        </w:rPr>
        <w:t>The Electricity Journal</w:t>
      </w:r>
      <w:r w:rsidRPr="00AE3F01">
        <w:rPr>
          <w:rFonts w:ascii="Times New Roman" w:hAnsi="Times New Roman" w:cs="Times New Roman"/>
          <w:iCs/>
          <w:color w:val="000000" w:themeColor="text1"/>
          <w:sz w:val="22"/>
          <w:szCs w:val="22"/>
        </w:rPr>
        <w:t>,</w:t>
      </w:r>
      <w:r w:rsidRPr="00AE3F01">
        <w:rPr>
          <w:rFonts w:ascii="Times New Roman" w:hAnsi="Times New Roman" w:cs="Times New Roman"/>
          <w:color w:val="000000" w:themeColor="text1"/>
          <w:sz w:val="22"/>
          <w:szCs w:val="22"/>
        </w:rPr>
        <w:t xml:space="preserve"> 33 (5), pp. 106739, 2020, </w:t>
      </w:r>
      <w:proofErr w:type="spellStart"/>
      <w:r w:rsidRPr="00AE3F01">
        <w:rPr>
          <w:rFonts w:ascii="Times New Roman" w:hAnsi="Times New Roman" w:cs="Times New Roman"/>
          <w:color w:val="000000" w:themeColor="text1"/>
          <w:sz w:val="22"/>
          <w:szCs w:val="22"/>
        </w:rPr>
        <w:t>doi</w:t>
      </w:r>
      <w:proofErr w:type="spellEnd"/>
      <w:r w:rsidRPr="00AE3F01">
        <w:rPr>
          <w:rFonts w:ascii="Times New Roman" w:hAnsi="Times New Roman" w:cs="Times New Roman"/>
          <w:color w:val="000000" w:themeColor="text1"/>
          <w:sz w:val="22"/>
          <w:szCs w:val="22"/>
        </w:rPr>
        <w:t xml:space="preserve">: </w:t>
      </w:r>
      <w:hyperlink r:id="rId6" w:history="1">
        <w:r w:rsidRPr="00AE3F01">
          <w:rPr>
            <w:rFonts w:ascii="Times New Roman" w:hAnsi="Times New Roman" w:cs="Times New Roman"/>
            <w:color w:val="000000" w:themeColor="text1"/>
            <w:sz w:val="22"/>
            <w:szCs w:val="22"/>
          </w:rPr>
          <w:t>https://doi.org/10.1016/j.tej.2020.106739</w:t>
        </w:r>
      </w:hyperlink>
      <w:r w:rsidRPr="00AE3F01">
        <w:rPr>
          <w:rFonts w:ascii="Times New Roman" w:hAnsi="Times New Roman" w:cs="Times New Roman"/>
          <w:color w:val="000000" w:themeColor="text1"/>
          <w:sz w:val="22"/>
          <w:szCs w:val="22"/>
        </w:rPr>
        <w:t>.</w:t>
      </w:r>
    </w:p>
    <w:p w14:paraId="0D9A2B49" w14:textId="77777777" w:rsidR="00685823" w:rsidRPr="00AE3F01" w:rsidRDefault="00685823" w:rsidP="000C779C">
      <w:pPr>
        <w:pStyle w:val="NormalWeb"/>
        <w:rPr>
          <w:color w:val="000000" w:themeColor="text1"/>
          <w:sz w:val="22"/>
          <w:szCs w:val="22"/>
        </w:rPr>
      </w:pPr>
    </w:p>
    <w:sectPr w:rsidR="00685823" w:rsidRPr="00AE3F01" w:rsidSect="00007E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1189" w14:textId="77777777" w:rsidR="00B012DF" w:rsidRDefault="00B012DF" w:rsidP="00B65655">
      <w:r>
        <w:separator/>
      </w:r>
    </w:p>
  </w:endnote>
  <w:endnote w:type="continuationSeparator" w:id="0">
    <w:p w14:paraId="0172747D" w14:textId="77777777" w:rsidR="00B012DF" w:rsidRDefault="00B012DF" w:rsidP="00B6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CCE3" w14:textId="77777777" w:rsidR="00B012DF" w:rsidRDefault="00B012DF" w:rsidP="00B65655">
      <w:r>
        <w:separator/>
      </w:r>
    </w:p>
  </w:footnote>
  <w:footnote w:type="continuationSeparator" w:id="0">
    <w:p w14:paraId="315BBCAD" w14:textId="77777777" w:rsidR="00B012DF" w:rsidRDefault="00B012DF" w:rsidP="00B65655">
      <w:r>
        <w:continuationSeparator/>
      </w:r>
    </w:p>
  </w:footnote>
  <w:footnote w:id="1">
    <w:p w14:paraId="0574EFEB" w14:textId="0C696FCC" w:rsidR="00B65655" w:rsidRDefault="00B65655" w:rsidP="00B65655">
      <w:pPr>
        <w:pStyle w:val="FootnoteText"/>
      </w:pPr>
      <w:r>
        <w:rPr>
          <w:rStyle w:val="FootnoteReference"/>
        </w:rPr>
        <w:footnoteRef/>
      </w:r>
      <w:r>
        <w:t xml:space="preserve"> </w:t>
      </w:r>
      <w:r w:rsidRPr="00B65655">
        <w:rPr>
          <w:rFonts w:ascii="Times New Roman" w:eastAsia="Calibri" w:hAnsi="Times New Roman" w:cs="Times New Roman"/>
          <w:color w:val="000000" w:themeColor="text1"/>
          <w:sz w:val="16"/>
          <w:szCs w:val="16"/>
        </w:rPr>
        <w:t>In the U.S., pre-Inflation Reduction Act interconnection queues showed a quarter of all proposed solar projects are combined with batteries, with 4% of wind projects also proposed as hybrids. In California, almost 2/3 of solar projects are proposed as hybrids [</w:t>
      </w:r>
      <w:r w:rsidR="00646AB6">
        <w:rPr>
          <w:rFonts w:ascii="Times New Roman" w:eastAsia="Calibri" w:hAnsi="Times New Roman" w:cs="Times New Roman"/>
          <w:color w:val="000000" w:themeColor="text1"/>
          <w:sz w:val="16"/>
          <w:szCs w:val="16"/>
        </w:rPr>
        <w:t>3</w:t>
      </w:r>
      <w:r w:rsidRPr="00B65655">
        <w:rPr>
          <w:rFonts w:ascii="Times New Roman" w:eastAsia="Calibri" w:hAnsi="Times New Roman" w:cs="Times New Roman"/>
          <w:color w:val="000000" w:themeColor="text1"/>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9C"/>
    <w:rsid w:val="00007E2C"/>
    <w:rsid w:val="00036C4C"/>
    <w:rsid w:val="000C779C"/>
    <w:rsid w:val="00346C6D"/>
    <w:rsid w:val="004A1A15"/>
    <w:rsid w:val="005E30C6"/>
    <w:rsid w:val="00646AB6"/>
    <w:rsid w:val="00685823"/>
    <w:rsid w:val="006C28EA"/>
    <w:rsid w:val="00737CC5"/>
    <w:rsid w:val="0075229F"/>
    <w:rsid w:val="007D6652"/>
    <w:rsid w:val="008C6297"/>
    <w:rsid w:val="00907B6F"/>
    <w:rsid w:val="009708F8"/>
    <w:rsid w:val="009A0AE8"/>
    <w:rsid w:val="00A05F6D"/>
    <w:rsid w:val="00A63D33"/>
    <w:rsid w:val="00AA351C"/>
    <w:rsid w:val="00AE3F01"/>
    <w:rsid w:val="00B012DF"/>
    <w:rsid w:val="00B65655"/>
    <w:rsid w:val="00B76CCD"/>
    <w:rsid w:val="00B8119B"/>
    <w:rsid w:val="00C92B95"/>
    <w:rsid w:val="00CE6337"/>
    <w:rsid w:val="00D43A0F"/>
    <w:rsid w:val="00F4678F"/>
    <w:rsid w:val="00F96F25"/>
    <w:rsid w:val="00F9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D96901"/>
  <w15:chartTrackingRefBased/>
  <w15:docId w15:val="{35F67C01-3583-0848-A7B4-F63A4A46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779C"/>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F96F25"/>
    <w:rPr>
      <w:sz w:val="20"/>
      <w:szCs w:val="20"/>
    </w:rPr>
  </w:style>
  <w:style w:type="paragraph" w:styleId="FootnoteText">
    <w:name w:val="footnote text"/>
    <w:basedOn w:val="Normal"/>
    <w:link w:val="FootnoteTextChar"/>
    <w:uiPriority w:val="99"/>
    <w:unhideWhenUsed/>
    <w:rsid w:val="00F96F25"/>
    <w:rPr>
      <w:sz w:val="20"/>
      <w:szCs w:val="20"/>
    </w:rPr>
  </w:style>
  <w:style w:type="character" w:customStyle="1" w:styleId="FootnoteTextChar1">
    <w:name w:val="Footnote Text Char1"/>
    <w:basedOn w:val="DefaultParagraphFont"/>
    <w:uiPriority w:val="99"/>
    <w:semiHidden/>
    <w:rsid w:val="00F96F25"/>
    <w:rPr>
      <w:sz w:val="20"/>
      <w:szCs w:val="20"/>
    </w:rPr>
  </w:style>
  <w:style w:type="character" w:styleId="FootnoteReference">
    <w:name w:val="footnote reference"/>
    <w:basedOn w:val="DefaultParagraphFont"/>
    <w:uiPriority w:val="99"/>
    <w:semiHidden/>
    <w:unhideWhenUsed/>
    <w:rsid w:val="00B65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8329">
      <w:bodyDiv w:val="1"/>
      <w:marLeft w:val="0"/>
      <w:marRight w:val="0"/>
      <w:marTop w:val="0"/>
      <w:marBottom w:val="0"/>
      <w:divBdr>
        <w:top w:val="none" w:sz="0" w:space="0" w:color="auto"/>
        <w:left w:val="none" w:sz="0" w:space="0" w:color="auto"/>
        <w:bottom w:val="none" w:sz="0" w:space="0" w:color="auto"/>
        <w:right w:val="none" w:sz="0" w:space="0" w:color="auto"/>
      </w:divBdr>
      <w:divsChild>
        <w:div w:id="1587349471">
          <w:marLeft w:val="0"/>
          <w:marRight w:val="0"/>
          <w:marTop w:val="0"/>
          <w:marBottom w:val="0"/>
          <w:divBdr>
            <w:top w:val="none" w:sz="0" w:space="0" w:color="auto"/>
            <w:left w:val="none" w:sz="0" w:space="0" w:color="auto"/>
            <w:bottom w:val="none" w:sz="0" w:space="0" w:color="auto"/>
            <w:right w:val="none" w:sz="0" w:space="0" w:color="auto"/>
          </w:divBdr>
          <w:divsChild>
            <w:div w:id="1061825671">
              <w:marLeft w:val="0"/>
              <w:marRight w:val="0"/>
              <w:marTop w:val="0"/>
              <w:marBottom w:val="0"/>
              <w:divBdr>
                <w:top w:val="none" w:sz="0" w:space="0" w:color="auto"/>
                <w:left w:val="none" w:sz="0" w:space="0" w:color="auto"/>
                <w:bottom w:val="none" w:sz="0" w:space="0" w:color="auto"/>
                <w:right w:val="none" w:sz="0" w:space="0" w:color="auto"/>
              </w:divBdr>
              <w:divsChild>
                <w:div w:id="11278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tej.2020.106739"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on xmlns="6dfc6e00-eaa7-471f-8691-9b952787d5c9">Keep</Action>
    <Description_x0020_2 xmlns="6dfc6e00-eaa7-471f-8691-9b952787d5c9" xsi:nil="true"/>
    <TaxCatchAll xmlns="cfe53b65-3c36-4587-b144-e9caa3012b85"/>
    <Document_x0020_Type xmlns="6dfc6e00-eaa7-471f-8691-9b952787d5c9" xsi:nil="true"/>
    <Keywords0 xmlns="6dfc6e00-eaa7-471f-8691-9b952787d5c9" xsi:nil="true"/>
    <TaxKeywordTaxHTField xmlns="cfe53b65-3c36-4587-b144-e9caa3012b85">
      <Terms xmlns="http://schemas.microsoft.com/office/infopath/2007/PartnerControls"/>
    </TaxKeywordTaxHTField>
    <PublishingExpirationDate xmlns="http://schemas.microsoft.com/sharepoint/v3" xsi:nil="true"/>
    <Document_x0020_Date xmlns="6dfc6e00-eaa7-471f-8691-9b952787d5c9" xsi:nil="true"/>
    <PublishingStartDate xmlns="http://schemas.microsoft.com/sharepoint/v3" xsi:nil="true"/>
    <Description0 xmlns="6dfc6e00-eaa7-471f-8691-9b952787d5c9" xsi:nil="true"/>
  </documentManagement>
</p:properties>
</file>

<file path=customXml/itemProps1.xml><?xml version="1.0" encoding="utf-8"?>
<ds:datastoreItem xmlns:ds="http://schemas.openxmlformats.org/officeDocument/2006/customXml" ds:itemID="{09366298-D388-468F-AED4-B0181E8D3F2B}"/>
</file>

<file path=customXml/itemProps2.xml><?xml version="1.0" encoding="utf-8"?>
<ds:datastoreItem xmlns:ds="http://schemas.openxmlformats.org/officeDocument/2006/customXml" ds:itemID="{A9B92EBA-82C6-410A-9D33-C2EA20555872}"/>
</file>

<file path=customXml/itemProps3.xml><?xml version="1.0" encoding="utf-8"?>
<ds:datastoreItem xmlns:ds="http://schemas.openxmlformats.org/officeDocument/2006/customXml" ds:itemID="{2FE99414-9E54-43EB-9F6C-ECF31E9FC545}"/>
</file>

<file path=docProps/app.xml><?xml version="1.0" encoding="utf-8"?>
<Properties xmlns="http://schemas.openxmlformats.org/officeDocument/2006/extended-properties" xmlns:vt="http://schemas.openxmlformats.org/officeDocument/2006/docPropsVTypes">
  <Template>Normal.dotm</Template>
  <TotalTime>0</TotalTime>
  <Pages>2</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Caitlyn</dc:creator>
  <cp:keywords/>
  <dc:description/>
  <cp:lastModifiedBy>Clark, Caitlyn</cp:lastModifiedBy>
  <cp:revision>2</cp:revision>
  <dcterms:created xsi:type="dcterms:W3CDTF">2023-06-28T02:36:00Z</dcterms:created>
  <dcterms:modified xsi:type="dcterms:W3CDTF">2023-06-28T02:36:00Z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TaxKeyword">
    <vt:lpwstr/>
  </property>
</Properties>
</file>